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378 vom 1. Januar 1988</w:t>
      </w:r>
    </w:p>
    <w:p>
      <w:r>
        <w:t>Bundesgericht (BGE), 1988-01-01, DE</w:t>
      </w:r>
    </w:p>
    <w:p>
      <w:r>
        <w:rPr>
          <w:b/>
        </w:rPr>
        <w:t xml:space="preserve">Quelle: </w:t>
      </w:r>
      <w:r>
        <w:t>https://mcp.opencaselaw.ch/entscheid/bge_BGE_114_Ia_378</w:t>
      </w:r>
    </w:p>
    <w:p>
      <w:r>
        <w:t>FR: BGE BGE 114 Ia 378 du 1 janvier 1988</w:t>
      </w:r>
    </w:p>
    <w:p>
      <w:r>
        <w:t>IT: BGE BGE 114 Ia 378 del 1 gennaio 1988</w:t>
      </w:r>
    </w:p>
    <w:p>
      <w:pPr>
        <w:pStyle w:val="Heading2"/>
      </w:pPr>
      <w:r>
        <w:t>Regeste</w:t>
      </w:r>
    </w:p>
    <w:p>
      <w:r>
        <w:t>Regeste Art. 88 OG, Legitimation von Eigentümern benachbarter Liegenschaften zur Anfechtung von Nutzungsplänen. Die Beschwerdeführerin macht keine Verletzung von irgendwelchen Normen geltend, die auch ihrem Schutze dienen und die mit der Festlegung der angefochtenen Zone nicht mehr oder nur noch in geänderter Form gelten würden. Im Hinblick auf die erhobenen Rügen kann daher auf die Beschwerde nicht eingetreten werden.</w:t>
      </w:r>
    </w:p>
    <w:p>
      <w:r>
        <w:t>Regeste Art. 88 OJ, qualité pour recourir des propriétaires de biens-fonds voisins contre des plans d'affectation. Le recours est irrecevable, car la recourante ne fait pas valoir la violation de normes qui tendraient aussi à la protéger, et dont la portée serait réduite à néant ou modifiée en raison de la création de la zone contestée.</w:t>
      </w:r>
    </w:p>
    <w:p>
      <w:r>
        <w:t>Regesto Art. 88 OG, legittimazione dei proprietari di fondi vicini a ricorrere contro piani di utilizzazione. Inammissibilità del ricorso, poiché la ricorrente non fa valere la violazione di norme destinate anche alla sua protezione e la cui portata sarebbe annullata o modificata in conseguenza della creazione della zona contestata.</w:t>
      </w:r>
    </w:p>
    <w:p>
      <w:pPr>
        <w:pStyle w:val="Heading2"/>
      </w:pPr>
      <w:r>
        <w:t>Erwägungen</w:t>
      </w:r>
    </w:p>
    <w:p>
      <w:r>
        <w:rPr>
          <w:b/>
        </w:rPr>
        <w:t>E. 4</w:t>
      </w:r>
    </w:p>
    <w:p>
      <w:r>
        <w:t>a) Die Beschwerdeführerin ist nicht Grundeigentümerin innerhalb desjenigen Gebietes, das neu der Gewerbezone zugeteilt ist. Sie ist lediglich Eigentümerin einer Liegenschaft oberhalb des betreffenden Areals in der Zone WE1 (zweigeschossige Wohnzone in empfindlichem Gebiet). Gemäss der Praxis des Bundesgerichtes ist zur Anfechtung eines Nutzungsplanes mit staatsrechtlicher Beschwerde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BGE 114 Ia 378 S. 380 gelten würden oder weil sie die Nutzung seiner Liegenschaft beschränke. In beiden Fällen reicht die Anfechtungsbefugnis nur soweit, als die Auswirkungen des streitigen Planes auf das eigene Grundstück in Frage stehen ( BGE 112 Ia 93 , BGE 113 Ia 238 E. 2). b) Ob sich die Planänderung auf das Grundstück der Beschwerdeführerin im Sinne dieser Rechtsprechung auswirken wird, kann offengelassen werden. Im Hinblick auf die erhobenen Rügen kann auf die Beschwerde aus den nachfolgenden Gründen nicht eingetreten werden. Die Beschwerdeführerin macht geltend, durch die Planänderung vermindere sich der Wert ihres Grundstückes. Angesichts der benachbarten Freihalte- und Wohnzonen erscheine die Zuteilung des betreffenden Areals zur Gewerbezone geradezu als sinnwidrig. Die Eigentumsgarantie gemäss Art. 22ter BV sei in erster Linie verletzt, weil es an der gesetzlichen Grundlage fehle; weder der regionale noch der kantonale Richtplan enthielten eine Grundlage für die Gewerbezone. Die Eigentumsgarantie sei auch wegen Fehlens eines öffentlichen Interesses verletzt; es könne unmöglich im öffentlichen Interesse liegen, empfindliches Gebiet durch eine Gewerbezone zu unterbrechen. Zudem sei auch das Verhältnismässigkeitsprinzip verletzt, bestehe doch kein überwiegendes öffentliches Interesse an der Festsetzung einer Gewerbezone im fraglichen Gebiet. Die Einführung einer an ein Wohngebiet in empfindlicher Lage sowie an eine Freihaltezone angrenzenden Gewerbezone sei willkürlich. Die Beschwerdeführerin macht mit diesen Rügen keine Verletzung von irgendwelchen Normen geltend, die auch ihrem Schutze dienen und die nach der Festlegung der Gewerbezone nicht mehr oder nur noch in geänderter Form gelten würden. Insbesondere beruft sie sich nicht auf öffentlichrechtliche Immissionsschutzbestimmungen, welche mit der Festsetzung der streitigen Gewerbezone zu ihrem Nachteil aufgehoben oder gelockert würden. Mit ihren Vorbringen rügt sie auch nicht, durch die Festlegung der Gewerbezone werde die Nutzung ihrer Liegenschaft beschränkt. Die Richtplanung, der nach dem Vorbringen der Beschwerdeführerin die Festlegung einer Gewerbezone im fraglichen Gebiet widersprechen soll, bindet sowohl nach Bundesrecht ( Art. 9 RPG ) als auch nach dem zürcherischen Recht nur die (nachgeordneten) Instanzen, nicht aber direkt die privaten Grundeigentümer (vgl. § § 18 ff. PBG ; BGE 107 Ia 77 ). Aus diesem Grund kann die Beschwerdeführerin daraus keine privaten Rechte bzw. Normen ableiten, die BGE 114 Ia 378 S. 381 auch ihrem Schutze dienen (unveröffentlichtes Urteil i.S. Halter vom 31. März 1988). Das gleiche gilt wesensgemäss vom behaupteten Umstand, es fehle am öffentlichen Interesse für die Festlegung einer Gewerbezone. Da die Beschwerdeführerin die Verletzung des Verhältnismässigkeitsgrundsatzes ebenfalls mit dem Fehlen eines hinreichenden öffentlichen Interesses begründet, fehlt es auch diesbezüglich an Gründen, welche sie als Eigentümerin eines ausserhalb der Planfestsetzung liegenden Grundstückes als legitimiert erscheinen liessen. Auch insofern, als die Beschwerdeführerin in der Planfestsetzung eine Verletzung des Willkürverbotes sieht, ist sie nicht zur staatsrechtlichen Beschwerde legitimiert. Nach ständiger Rechtsprechung verschafft nämlich das allgemeine Willkürverbot, das bei jeder staatlichen Tätigkeit zu beachten ist, für sich allein dem Betroffenen noch keine geschützte Rechtsstellung im Sinne von Art. 88 OG . Eine Legitimation zur Willkürbeschwerde besteht erst dann, wenn der angefochtene Entscheid den Beschwerdeführer in seiner vorhandenen Rechtsstellung berührt und damit in seine rechtlich geschützten Interessen eingreift. Die Geltendmachung des Willkürverbotes setzt somit eine Berechtigung in der Sache voraus ( BGE 112 Ia 178 E. 3c; 110 Ia 75 E. 2a, je mit Hinweisen). Auf die Beschwerde kann deshalb mangels Legitimation der Beschwerdeführerin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