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98</w:t>
      </w:r>
    </w:p>
    <w:p>
      <w:r>
        <w:t>Bundesgericht (BGE), 1988-01-01, DE</w:t>
      </w:r>
    </w:p>
    <w:p>
      <w:r>
        <w:rPr>
          <w:b/>
        </w:rPr>
        <w:t xml:space="preserve">Quelle: </w:t>
      </w:r>
      <w:r>
        <w:t>https://mcp.opencaselaw.ch/entscheid/bge_BGE_114_IV_98</w:t>
      </w:r>
    </w:p>
    <w:p>
      <w:r>
        <w:t>FR: ATF 114 IV 98</w:t>
      </w:r>
    </w:p>
    <w:p>
      <w:r>
        <w:t>IT: DTF 114 IV 98</w:t>
      </w:r>
    </w:p>
    <w:p>
      <w:pPr>
        <w:pStyle w:val="Heading2"/>
      </w:pPr>
      <w:r>
        <w:t>Regeste</w:t>
      </w:r>
    </w:p>
    <w:p>
      <w:r>
        <w:t>Regeste Art. 58 Abs. 1 StGB; Grundstücke. Grundstücke gelten gleich wie bewegliche Sachen als Gegenstände im Sinne von Art. 58 StGB. Ist ein Haus ein wesentliches Hilfsmittel für unerlaubten Nachrichtendienst (Tatwerkzeug), so kann es eingezogen werden.</w:t>
      </w:r>
    </w:p>
    <w:p>
      <w:r>
        <w:t>Regeste Art. 58 al. 1 CP; biens immobiliers. Les biens immobiliers, de même que les choses mobilières, sont des objets au sens de l'art. 58 CP. Si une maison constitue un moyen essentiel de réaliser un service de renseignement illicite (objet servant à commettre l'infraction), elle peut être confisquée.</w:t>
      </w:r>
    </w:p>
    <w:p>
      <w:r>
        <w:t>Regesto Art. 58 cpv. 1 CP; fondi. I fondi, al pari delle cose mobili, sono oggetti ai sensi dell'art. 58 CP. Ove costituisca un mezzo essenziale per lo svolgimento di un servizio d'informazioni illecito (oggetto destinato a commettere il reato), una casa può essere confiscata.</w:t>
      </w:r>
    </w:p>
    <w:p>
      <w:pPr>
        <w:pStyle w:val="Heading2"/>
      </w:pPr>
      <w:r>
        <w:t>Erwägungen</w:t>
      </w:r>
    </w:p>
    <w:p>
      <w:r>
        <w:rPr>
          <w:b/>
        </w:rPr>
        <w:t>E. 4</w:t>
      </w:r>
    </w:p>
    <w:p>
      <w:r>
        <w:t>Gemäss Art. 58 Abs. 1 StGB verfügt der Richter die Einziehung von Gegenständen und Vermögenswerten, die durch eine strafbare Handlung hervorgebracht oder erlangt worden sind, an oder mit denen eine strafbare Handlung begangen wurde oder die zur Begehung einer strafbaren Handlung bestimmt waren, soweit die Einziehung zur Beseitigung eines unrechtmässigen Vorteils oder Zustandes als geboten erscheint (lit. a), oder wenn die BGE 114 IV 98 S. 99 Gegenstände die Sicherheit von Menschen, die Sittlichkeit oder die öffentliche Ordnung gefährden (lit. b). Grundstücke gelten gleich wie bewegliche Sachen als Gegenstände im Sinne dieser Bestimmung (vgl. für das den gleichen Begriff "Gegenstand" verwendende deutsche Recht: SCHÖNKE/SCHRÖDER, Strafgesetzbuch, 22. Aufl., N. 6 sowie RUDOLPHI/HORN/SAMSON, Systematischer Kommentar zum Strafgesetzbuch, 5. Aufl., N. 5 zu § 74). Nach den verbindlichen tatsächlichen Feststellungen des Obergerichts hatte X. nach Weisung der Zentrale ein Haus zu suchen, wo er Funksendungen aus der DDR möglichst ungestört empfangen konnte und wo später zu beidseitigem Funkverkehr hätte übergegangen werden können. Mit dem Kauf wurde ein möglichst ungestörtes Einrichten, Betreiben und Bereithalten des Nachrichtenübermittlungssystems bezweckt. Das Haus war also ein wesentliches Hilfsmittel für den unerlaubten Nachrichtendienst. Ist es danach zur Begehung eines Deliktes verwendet worden, so gilt es als Tatwerkzeug im Sinne von Art. 58 Abs. 1 StGB ( BGE 101 IV 211 E. III/4), und zwar selbst dann, wenn es nicht "zu diesem Zweck bestimmt oder auch nur allgemein geeignet" gewesen wäre, wie beispielsweise "das von einer an verschiedenen Orten tätigen Diebesbande benützte Motorfahrzeug" (SCHULTZ, Einziehung und Verfall, ZBJV 114/1978, S. 310). Tatwerkzeuge sind unabhängig davon einzuziehen, ob sie nur rechtswidrigem oder auch anderem Gebrauch dienen können. Entscheidend ist die durch den Täter realisierte oder beabsichtigte Verwendung, aufgrund welcher sich beurteilt, ob die Gegenstände die Sicherheit von Menschen, die Sittlichkeit oder die öffentliche Ordnung gefährden ( BGE 81 IV 219 E. 2). Folglich hat das Obergericht die in lit. b von Art. 58 Abs. 1 StGB vorgesehene Einschränkung nicht verkannt, als es die Einziehung der Liegenschaft anordnete; davon hätte nur abgesehen werden können, wenn die Gefahr vor Abschluss des Verfahrens völlig behoben gewesen wäre (SCHULTZ, a.a.O., S. 320 mit Hinweisen), oder der Zweck der Massnahme durch weniger einschneidende Anordnungen hätte erreicht werden können ( BGE 104 IV 149 E. 2). Dass eine dieser Voraussetzungen zugetroffen habe, wird auch in der Beschwerde nicht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