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IV 83</w:t>
      </w:r>
    </w:p>
    <w:p>
      <w:r>
        <w:t>Bundesgericht (BGE), 1988-01-01, DE</w:t>
      </w:r>
    </w:p>
    <w:p>
      <w:r>
        <w:rPr>
          <w:b/>
        </w:rPr>
        <w:t xml:space="preserve">Quelle: </w:t>
      </w:r>
      <w:r>
        <w:t>https://mcp.opencaselaw.ch/entscheid/bge_BGE_114_IV_83</w:t>
      </w:r>
    </w:p>
    <w:p>
      <w:r>
        <w:t>FR: ATF 114 IV 83</w:t>
      </w:r>
    </w:p>
    <w:p>
      <w:r>
        <w:t>IT: DTF 114 IV 83</w:t>
      </w:r>
    </w:p>
    <w:p>
      <w:pPr>
        <w:pStyle w:val="Heading2"/>
      </w:pPr>
      <w:r>
        <w:t>Regeste</w:t>
      </w:r>
    </w:p>
    <w:p>
      <w:r>
        <w:t>Regeste Art. 3 Ziff. 1 Abs. 2 StGB; Anrechnung einer im Ausland verbüssten Strafe. Die Auflage gemäss § 56 b Abs. 2 Ziff. 2 des deutschen StGB (Zahlung eines Geldbetrages zugunsten einer gemeinnützigen Einrichtung oder der Staatskasse) weist einen derart strafähnlichen Charakter auf, dass sie bei der Anwendung des Art. 3 Ziff. 1 Abs. 2 StGB wie eine Geldstrafe zu behandeln ist.</w:t>
      </w:r>
    </w:p>
    <w:p>
      <w:r>
        <w:t>Regeste Art. 3 ch. 1 al. 2 CP; imputation d'une peine subie à l'étranger. L'obligation de verser une somme d'argent à une institution d'intérêt public ou au fisc, en application du paragraphe 56b al. 2 ch. 2 du Code pénal allemand, présente un tel caractère de sanction pénale qu'il doit être considéré comme une amende lors de l'application de l'art. 3 ch. 1 al. 2 CP.</w:t>
      </w:r>
    </w:p>
    <w:p>
      <w:r>
        <w:t>Regesto Art. 3 n. 1 cpv. 1 CP; computo di una pena scontata all'estero. L'obbligo di versare una somma di denaro a un'istituzione di utilità pubblica o al fisco, in applicazione del § 56b cpv. 2 n. 2 del codice penale germanico, presenta un carattere di sanzione penale tale da dover essere considerato, in sede di applicazione dell'art. 3 n. 1 cpv. 2 CP, come una multa.</w:t>
      </w:r>
    </w:p>
    <w:p>
      <w:pPr>
        <w:pStyle w:val="Heading2"/>
      </w:pPr>
      <w:r>
        <w:t>Erwägungen</w:t>
      </w:r>
    </w:p>
    <w:p>
      <w:r>
        <w:rPr>
          <w:b/>
        </w:rPr>
        <w:t>E. 1</w:t>
      </w:r>
    </w:p>
    <w:p>
      <w:r>
        <w:t>Die Art. 3-7 StGB regeln wie die §§ 3-7 des deutschen StGB das sogenannte internationale Strafrecht, das bei Taten mit internationalem Bezug von Bedeutung ist. Diese Bestimmungen umschreiben BGE 114 IV 83 S. 84 den räumlichen und persönlichen Geltungsbereich des schweizerischen respektive des deutschen Strafrechts. Sie betreffen jedoch nicht das Verhältnis zu anderen Strafrechtsordnungen, weshalb die Anwendung mehrerer Strafrechtsordnungen möglich ist. Unter Umständen kann daher wegen derselben Tat sowohl eine Verurteilung in der Schweiz als auch in Deutschland erfolgen. Eine derartige Doppelverurteilung und -bestrafung verstösst nach allgemeiner Ansicht nicht gegen den Grundsatz "ne bis in idem" (vgl. SCHÖNKE/SCHRÖDER/ESER, 23. Aufl., Vorbemerkungen zu den § § 3-7 N 1 und 72). Der offensichtlichen Härte und Unbilligkeit solcher faktischer Doppelbestrafung begegnet sowohl die schweizerische als auch die deutsche Rechtsordnung durch Anerkennung oder Anrechnung ausländischer Urteile. Dieser Grundsatz ist für die Schweiz in Art. 3 Ziff. 1 Abs. 2 StGB festgelegt ( BGE 99 IV 123 f. E. a). Danach muss der Richter dem Täter eine im Ausland abgegoltene Freiheits- oder Geldstrafe anrechnen ( BGE 111 IV 3 f.).</w:t>
      </w:r>
    </w:p>
    <w:p>
      <w:r>
        <w:rPr>
          <w:b/>
        </w:rPr>
        <w:t>E. 2</w:t>
      </w:r>
    </w:p>
    <w:p>
      <w:r>
        <w:t>a) Bei der Anrechnung einer ausländischen Strafe stellt sich - wie auch bei der Übernahme einer Strafvollstreckung eines ausländischen Urteils - die Frage, wie vorzugehen ist, wenn die ausländische Rechtsordnung eine Sanktion vorsieht, die das schweizerische Recht in dieser Form nicht kennt (vgl. LOGOZ/SANDOZ, art. 3 ch. 2c). Die Vorinstanz ging davon aus, der dem Beschwerdeführer auferlegte Geldbetrag stelle weder eine Geldstrafe noch eine Massnahme dar und sei somit nicht anrechnungspflichtig. b) Die vorliegend angeordnete Verpflichtung, DM 6'000.-- zu bezahlen, stellt nach deutschem Recht formal keine Geldstrafe im Sinne von § 40, sondern eine Auflage gemäss § 56b Abs. 2 Ziff. 2 des deutschen StGB dar. Nach dieser Bestimmung kann das Gericht dem Verurteilten Auflagen erteilen, die der Genugtuung für das begangene Unrecht dienen; es kann ihm auferlegen, einen Geldbetrag zugunsten einer gemeinnützigen Einrichtung oder der Staatskasse zu zahlen. c) Dass diese Auflage eventuell an eine gemeinnützige Einrichtung zu leisten ist, unterscheidet sie nicht wesentlich von einer Geldstrafe; und dass sie im Unterschied zur Geldstrafe nicht in Tagessätzen ausgesprochen wird, ist im Vergleich mit den Sanktionen des schweizerischen Rechts bedeutungslos, weil die Geldbusse gemäss Art. 48 StGB ebensowenig auf dem Tagessatzsystem beruht. Im übrigen wird in der Literatur die Auffassung vertreten, BGE 114 IV 83 S. 85 dass bei der Geldzahlungspflicht gemäss § 56b Abs. 2 Ziff. 2 des deutschen StGB Parallelen zur echten Geldstrafe bestehen (HORN Systematischer Kommentar zum Strafgesetzbuch, § 56b N 9 und 10 mit dem Hinweis, dass bei der Verpflichtung zur Zahlung an die Staatskasse "die Bewährungsauflage ganz eindeutig den Charakter einer Geldstrafe" erhält). Ob die Geldzahlung an den Staat oder an eine gemeinnützige Einrichtung zu erfolgen hat, beeinträchtigt ihren geldstrafenähnlichen Charakter nicht; dem steht auch nicht entgegen, dass im schweizerischen Recht Geldstrafen stets an den Staat zu zahlen sind. Eine Ausnahme wäre nur gerechtfertigt, wenn eine Auflage die Funktion der Schadenswiedergutmachung hat (so § 56 Abs. 2 Ziff. 1 des deutschen StGB), was vorliegendenfalls nicht zutrifft. Dementsprechend bestimmt das deutsche Recht, dass bei einem Widerruf des bedingten Strafvollzugs eine bereits erbrachte Geldleistung auf die zu verbüssende Strafe angerechnet werden kann (§ 56f Abs. 3 deutsches StGB). Dabei wird teilweise angenommen, angesichts des strafähnlichen Charakters der Auflage bestehe eine Anrechnungspflicht (HORN, a.a.O., § 56 f. N 39; SCHÖNKE/SCHRÖDER/STREE, § 56 f. N 19). Zusammenfassend weist die fragliche Auflage sowohl in ihren Wirkungen als auch aufgrund ihrer Rechtsnatur einen derart strafähnlichen Charakter auf, dass sie bei der Anwendung des Anrechnungsprinzips gemäss Art. 3 Ziff. 1 Abs. 2 StGB wie eine Geldstrafe zu behandeln ist. Deshalb ist die Beschwerde insoweit gutzuheissen, als das Obergericht den bezahlten Geldbetrag auf die Strafe anzurechnen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