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81</w:t>
      </w:r>
    </w:p>
    <w:p>
      <w:r>
        <w:t>Bundesgericht (BGE), 1988-01-01, DE</w:t>
      </w:r>
    </w:p>
    <w:p>
      <w:r>
        <w:rPr>
          <w:b/>
        </w:rPr>
        <w:t xml:space="preserve">Quelle: </w:t>
      </w:r>
      <w:r>
        <w:t>https://mcp.opencaselaw.ch/entscheid/bge_BGE_114_IV_81</w:t>
      </w:r>
    </w:p>
    <w:p>
      <w:r>
        <w:t>FR: ATF 114 IV 81</w:t>
      </w:r>
    </w:p>
    <w:p>
      <w:r>
        <w:t>IT: DTF 114 IV 81</w:t>
      </w:r>
    </w:p>
    <w:p>
      <w:pPr>
        <w:pStyle w:val="Heading2"/>
      </w:pPr>
      <w:r>
        <w:t>Regeste</w:t>
      </w:r>
    </w:p>
    <w:p>
      <w:r>
        <w:t>Regeste Art. 2 Abs. 2 StGB, Art. 39 Abs. 2, 58 Abs. 1 JVG, Art. 17 Abs. 1 lit. a, 20 Abs. 1 BG über die Jagd und den Schutz wildlebender Säugetiere und Vögel vom 20. Juni 1986; lex mitior beim Zusammentreffen von Haupt- und Nebenstrafen. Bei der Bestimmung des milderen Rechts ist in erster Linie auf die angedrohten Hauptstrafen abzustellen; allfällige Nebenstrafen sind nur bei Gleichheit der Hauptstrafen zu berücksichtigen.</w:t>
      </w:r>
    </w:p>
    <w:p>
      <w:r>
        <w:t>Regeste Art. 2 al. 2 CP, art. 39 al. 2, 58 al. 1 LChO, art. 17 al. 1 lett. a, 20 al. 1 LF sur la chasse et la protection des mammifères et oiseaux sauvages du 20 juin 1986; lex mitior en cas de concours de peines principales et accessoires. Pour déterminer quel est le droit le plus favorable, il faut se fonder en première ligne sur la commination de la peine principale; les éventuelles peines accessoires ne doivent être prises en considération que si les peines principales sont égales.</w:t>
      </w:r>
    </w:p>
    <w:p>
      <w:r>
        <w:t>Regesto Art. 2 cpv. 2 CP, art. 39 cpv. 2, 58 cpv. 1 LCPU, art. 17 cpv. 1 LF sulla caccia e la protezione dei mammiferi e degli uccelli selvatici, del 20 giugno 1986; lex mitior in caso di concorso di pene principali e accessorie. Per determinare qual'è il diritto più favorevole ci si deve fondare in primo luogo sulla pena principale comminata; le eventuali pene accessorie vanno considerate solo se le pene principali sono uguali.</w:t>
      </w:r>
    </w:p>
    <w:p>
      <w:pPr>
        <w:pStyle w:val="Heading2"/>
      </w:pPr>
      <w:r>
        <w:t>Erwägungen</w:t>
      </w:r>
    </w:p>
    <w:p>
      <w:r>
        <w:rPr>
          <w:b/>
        </w:rPr>
        <w:t>E. 3</w:t>
      </w:r>
    </w:p>
    <w:p>
      <w:r>
        <w:t>a) Der Beschwerdeführer bringt vor, auf den 1. April 1988 sei das Bundesgesetz über die Jagd und den Schutz wildlebender BGE 114 IV 81 S. 82 Säugetiere und Vögel (nJVG) vom 20. Juni 1986 in Kraft getreten, dessen Art. 20 im Vergleich zu Art. 58 Abs. 2 (recte: Abs. 1) aJVG milder sei. Die Vorinstanz habe Art. 2 Abs. 2 StGB verletzt, indem sie hinsichtlich des Ausschlusses von der Jagdberechtigung nicht Art. 20 nJVG angewandt habe. b) Nach dem Grundsatz der lex mitior ist auf die Tat sowohl das alte als auch das neue Recht anzuwenden und durch Vergleich der Ergebnisse festzustellen, nach welchem Recht der Täter besser wegkommt ( BGE 68 IV 130 f. E. 1 mit Hinweis). Im vorliegenden Fall drohte das alte Recht mit einer Busse von 300 bis 800 Franken (Art. 39 Abs. 2 aJVG), während das neue Busse bis zu 40'000 Franken oder Gefängnis bis zu einem Jahr vorsieht (Art. 17 Abs. 1 lit. a nJVG i.V.m. Art. 48 Abs. 1 StGB ). Demgegenüber wurde der Strafrahmen hinsichtlich des Ausschlusses von der Jagdberechtigung von 3 bis 10 Jahren (Art. 58 Abs. 1 aJVG) auf 1 bis 10 Jahre gemildert (Art. 20 Abs. 1 nJVG). Bei der Bestimmung des milderen Rechts ist in erster Linie auf die Hauptstrafen abzustellen, und allfällige Nebenstrafen sind nur bei Gleichheit der Hauptstrafen zu berücksichtigen (h.M. in Deutschland, vgl. RUDOLPHI, Systematischer Kommentar zum Strafgesetzbuch, Bd. 1, Allg. T., § 2 N 12 ; SCHÖNKE/SCHRÖDER/ESER, 22. Aufl., § 2 N 30 ). Diese klare und einfache Lösung verträgt sich auch mit dem Sanktionensystem des Strafgesetzbuches, wonach zunächst eine Hauptstrafe oder eine Massnahme auszusprechen ist und nur in Ausnahmefällen zusätzlich eine Nebenstrafe mit besonderer Zielsetzung (z.B. Schutz der Gemeinschaft (Landesverweisung), des einzelnen (Entziehung der elterlichen Gewalt und der Vormundschaft) oder des Täters vor sich selbst (Wirtshausverbot)) verhängt wird. c) Gemäss Art. 39 Abs. 2 aJVG wird mit Busse von 300 bis 800 Franken bestraft, wer geschütztes Reh- oder Gemswild widerrechtlich erlegt. Art. 17 Abs. 1 lit. a des neuen Jagdgesetzes bedroht das vorsätzliche Töten geschützter Tiere mit Busse oder Gefängnis bis zu einem Jahr. Da das aJVG hinsichtlich der Hauptstrafe für den Beschwerdeführer das mildere Recht darstellt, ist es vorliegend zu Recht angewandt worden. Damit folgt auch die Nebenstrafe dem alten Recht (siehe E. b hievor). Dem Antrag des Beschwerdeführers, die Hauptstrafe nach altem und die Nebenstrafe nach neuem Recht festzulegen, kann nicht stattgegeben werden, weil die kombinierte Anwendung beider Gesetze dem Sinn des Art. 2 StGB widerspricht ( BGE 68 IV 130 f. E. 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