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6</w:t>
      </w:r>
    </w:p>
    <w:p>
      <w:r>
        <w:t>Bundesgericht (BGE), 1988-01-01, DE</w:t>
      </w:r>
    </w:p>
    <w:p>
      <w:r>
        <w:rPr>
          <w:b/>
        </w:rPr>
        <w:t xml:space="preserve">Quelle: </w:t>
      </w:r>
      <w:r>
        <w:t>https://mcp.opencaselaw.ch/entscheid/bge_BGE_114_IV_6</w:t>
      </w:r>
    </w:p>
    <w:p>
      <w:r>
        <w:t>FR: ATF 114 IV 6</w:t>
      </w:r>
    </w:p>
    <w:p>
      <w:r>
        <w:t>IT: DTF 114 IV 6</w:t>
      </w:r>
    </w:p>
    <w:p>
      <w:pPr>
        <w:pStyle w:val="Heading2"/>
      </w:pPr>
      <w:r>
        <w:t>Regeste</w:t>
      </w:r>
    </w:p>
    <w:p>
      <w:r>
        <w:t>Regeste Art. 58, 153 ff. StGB, Art. 32 Abs. 2 MSchG. Eine im Ausland zum Eigengebrauch erworbene und in die Schweiz eingeführte Uhr, die der Käufer in der Folge als Fälschung erkennt, ist nicht einzuziehen, wenn sie der Käufer weiterhin bloss zum Eigengebrauch verwenden will.</w:t>
      </w:r>
    </w:p>
    <w:p>
      <w:r>
        <w:t>Regeste Art. 58, 153 ss CP, art. 32 al. 2 LMF. Une montre achetée à l'étranger pour son propre usage, puis importée en Suisse et dont l'acheteur reconnaît ensuite qu'elle est une contrefaçon, ne doit pas être confisquée lorsque l'acheteur n'a d'autre intention que de continuer à l'employer pour son propre usage.</w:t>
      </w:r>
    </w:p>
    <w:p>
      <w:r>
        <w:t>Regesto Art. 58, 153 segg. CP, art. 32 cpv. 2 LMF. Un orologio acquistato all'estero per il proprio uso personale, poi importato in Svizzera e il cui compratore scopre in seguito che si tratta di una contraffazione, non può essere confiscato se il compratore intende continuare a servirsene soltanto per il proprio uso personale.</w:t>
      </w:r>
    </w:p>
    <w:p>
      <w:pPr>
        <w:pStyle w:val="Heading2"/>
      </w:pPr>
      <w:r>
        <w:t>Erwägungen</w:t>
      </w:r>
    </w:p>
    <w:p>
      <w:r>
        <w:rPr>
          <w:b/>
        </w:rPr>
        <w:t>E. 1</w:t>
      </w:r>
    </w:p>
    <w:p>
      <w:r>
        <w:t>(Offengelassen, ob die Eintretensvoraussetzungen erfüllt sind.)</w:t>
      </w:r>
    </w:p>
    <w:p>
      <w:r>
        <w:rPr>
          <w:b/>
        </w:rPr>
        <w:t>E. 2</w:t>
      </w:r>
    </w:p>
    <w:p>
      <w:r>
        <w:t>a) Gemäss Art. 153 Abs. 3, 154 Ziff. 3 und 155 Abs. 3 StGB können die nachgemachten, verfälschten oder im Wert verringerten Waren eingezogen werden. Wohl befand sich die fragliche Uhr in der Hand des Händlers in Thailand im Verkehr. Sie wurde aber aus dem Verkehr gezogen, als C. sie in Thailand zum Eigengebrauch erwarb. Es fehlen nach den Ausführungen im angefochtenen Entscheid jegliche Anhaltspunkte dafür, dass C. in der Folge den Entschluss gefasst habe, die Uhr wieder in Verkehr zu bringen; eine diesbezügliche Gefahr bestand somit nicht. Die Uhr war in der Hand des Käufers C., der sie, als Konsument, für den eigenen privaten Gebrauch verwenden wollte, keine Ware im Sinne von Art. 153 ff. mehr ( BGE 101 IV 39 E. 3) und konnte daher nicht gestützt auf diese Bestimmungen eingezogen werden. b) Aus Art. 58 StGB ergibt sich nichts anderes, da jedenfalls die in dessen Abs. 1 lit. a und b genannten Voraussetzungen der Einziehung nicht erfüllt sind. C. hat die Uhr zum Eigengebrauch in Thailand gekauft, in die Schweiz eingeführt und hier besessen, und er hat zu keinem Zeitpunkt den Entschluss gefasst, sie wieder in Verkehr zu bringen. Auch wenn man die Existenz der Uhr als unrechtmässigen Zustand im Sinne von Art. 58 Abs. 1 lit. a StGB betrachten wollte, so erscheint bei der gegebenen Sachlage die Einziehung der Uhr nicht als zur Beseitigung dieses Zustandes "geboten". Die Uhr vermag sodann in der Hand von C. aus den genannten Gründen nicht im Sinne von Art. 58 Abs. 1 lit. b StGB die öffentliche Ordnung zu gefährden. c) Die Einziehung gestützt auf Art. 32 Abs. 2 MSchG fällt schliesslich schon deshalb ausser Betracht, weil davon auszugehen ist, dass in der Schweiz in bezug auf die fragliche Uhr keine Handlungen, die unter Art. 24 ff. MSchG fallen, begangen worden sind. Es fand denn auch kein Prozess im Sinne von Art. 24 ff. MSchG statt. Es kann daher offenbleiben, in welchem Verhältnis Art. 32 Abs. 2 MSchG zu Art. 58 StGB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