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31</w:t>
      </w:r>
    </w:p>
    <w:p>
      <w:r>
        <w:t>Bundesgericht (BGE), 1988-01-01, DE</w:t>
      </w:r>
    </w:p>
    <w:p>
      <w:r>
        <w:rPr>
          <w:b/>
        </w:rPr>
        <w:t xml:space="preserve">Quelle: </w:t>
      </w:r>
      <w:r>
        <w:t>https://mcp.opencaselaw.ch/entscheid/bge_BGE_114_IV_31</w:t>
      </w:r>
    </w:p>
    <w:p>
      <w:r>
        <w:t>FR: ATF 114 IV 31</w:t>
      </w:r>
    </w:p>
    <w:p>
      <w:r>
        <w:t>IT: DTF 114 IV 31</w:t>
      </w:r>
    </w:p>
    <w:p>
      <w:pPr>
        <w:pStyle w:val="Heading2"/>
      </w:pPr>
      <w:r>
        <w:t>Regeste</w:t>
      </w:r>
    </w:p>
    <w:p>
      <w:r>
        <w:t>Regeste Art. 110 Ziff. 5, 251 und 254 StGB; Urkundencharakter eines Kassabuches. Jeder einzelnen Aufzeichnung, die im Rahmen der kaufmännischen Buchführung der Erstellung des Kassabuches dient, kommt Urkundenqualität zu. Dasselbe gilt für ursprüngliche Entwürfe, die später durch eine Neuschrift mit oder ohne Abänderungen ersetzt werden.</w:t>
      </w:r>
    </w:p>
    <w:p>
      <w:r>
        <w:t>Regeste Art. 110 ch. 5, 251 et 254 CP; qualité de titre, s'agissant d'un livre de caisse. Chaque inscription qui doit figurer, selon les usages en matière de comptabilité commerciale, dans les livres de caisse, constitue un titre. Il en va de même des inscriptions provisoires qui sont par la suite remplacées, avec ou sans modification, par une autre écriture.</w:t>
      </w:r>
    </w:p>
    <w:p>
      <w:r>
        <w:t>Regesto Art. 110 n. 5, 251 e 254 CP; qualità di documento di un libro di cassa. Ogni iscrizione che, secondo gli usi in materia di contabilità commerciale, deve figurare nei libri di cassa, costituisce un documento. Ciò vale anche per le iscrizioni provvisorie, sostituite in seguito, con o senza modifica, da altra scriturazione.</w:t>
      </w:r>
    </w:p>
    <w:p>
      <w:pPr>
        <w:pStyle w:val="Heading2"/>
      </w:pPr>
      <w:r>
        <w:t>Erwägungen</w:t>
      </w:r>
    </w:p>
    <w:p>
      <w:r>
        <w:rPr>
          <w:b/>
        </w:rPr>
        <w:t>E. 2</w:t>
      </w:r>
    </w:p>
    <w:p>
      <w:r>
        <w:t>Nach Feststellung des Obergerichts zeichnete die Beschwerdeführerin "im laufenden Kassabuch Bankeinzahlungen auf", die nicht vorgenommen worden waren, und "die sie bei der Abschrift des Kassabuches wegliess". Die Vorinstanz betrachtet sowohl den Entwurf als auch die Reinschrift des Kassabuches als Urkunden im Sinne von Art. 110 Ziff. 5 StGB . Die Beschwerdeführerin rügt erfolglos, dadurch sei gegen Bundesrecht verstossen worden. Nach herrschender Lehre und Rechtsprechung stellt die kaufmännische Buchhaltung mit ihren Bestandteilen eine Urkunde gemäss Art. 110 Ziff. 5 und damit Art. 251 sowie 254 StGB dar ( BGE 108 IV 26 E. 1c mit Hinweisen). Zur Buchhaltung gehört auch das Kassabuch, wie es hier geführt worden ist (KÄFER, Berner Kommentar, N. 178 f., insbesondere N. 181 zu Art. 957 OR ). Die Buchführungspflicht verlangt fortlaufend systematische, vollständige und klare rechnerische Aufzeichnungen über die Geschäftsvorgänge ( BGE 77 IV 166 ; KÄFER, N. 161, 181, 535 f. und 587 f. zu Art. 957 OR ). Die Notwendigkeit laufender und chronologischer Nachführung gilt hinsichtlich Kassabüchern ohne Einschränkung (KÄFER, N. 181, 535 f. und 587 f. zu Art. 957 OR ). Jede einzelne Aufzeichnung in diesen stellt deshalb eine Beurkundung dar. Für ihre Urkundenqualität kommt mithin nichts darauf an, BGE 114 IV 31 S. 32 ob die ursprüngliche Eintragung später durch eine Neuschrift mit oder ohne Abänderungen ersetzt und diese der Arbeitgeberin zur Weiterverarbeitung in der Buchhaltung abgeliefert werde; die ursprüngliche Fassung behält so oder so ihre Urkundenqualität, und sie bildete vorliegend selbst nach dem Willen der Beschwerdeführerin jedenfalls für so lange Bestandteil der von der Arbeitgeberin zentral geführten Buchhaltung, als sie weitere Eintragungen vornahm und diese nicht durch eine veränderte Neuschrift ersetzte. Was die Beschwerdeführerin im einzelnen gegen den vom Obergericht bejahten Urkundencharakter des Kassabuches einwendet, ist damit als unzutreffend widerlegt.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