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162</w:t>
      </w:r>
    </w:p>
    <w:p>
      <w:r>
        <w:t>Bundesgericht (BGE), 1988-01-01, DE</w:t>
      </w:r>
    </w:p>
    <w:p>
      <w:r>
        <w:rPr>
          <w:b/>
        </w:rPr>
        <w:t xml:space="preserve">Quelle: </w:t>
      </w:r>
      <w:r>
        <w:t>https://mcp.opencaselaw.ch/entscheid/bge_BGE_114_IV_162</w:t>
      </w:r>
    </w:p>
    <w:p>
      <w:r>
        <w:t>FR: ATF 114 IV 162</w:t>
      </w:r>
    </w:p>
    <w:p>
      <w:r>
        <w:t>IT: DTF 114 IV 162</w:t>
      </w:r>
    </w:p>
    <w:p>
      <w:pPr>
        <w:pStyle w:val="Heading2"/>
      </w:pPr>
      <w:r>
        <w:t>Regeste</w:t>
      </w:r>
    </w:p>
    <w:p>
      <w:r>
        <w:t>Regeste Art. 19 Ziff. 1 Abs. 3 BetmG ("befördern"). Wer eine Autofahrt unternimmt, bei der Mitfahrer für ihn ersichtlich und auch in seinem eigenen Interesse das ausschliessliche Ziel haben, Betäubungsmittel zu erwerben und zu sich nach Hause zu bringen, macht sich der Beförderung der eingekauften Drogen schuldig, auch wenn die Mitfahrer die Betäubungsmittel auf sich tragen.</w:t>
      </w:r>
    </w:p>
    <w:p>
      <w:r>
        <w:t>Regeste Art. 19 ch. 1 al. 3 LStup ("transport"). Celui qui entreprend une course en voiture, à l'occasion de laquelle ses passagers n'ont, visiblement pour lui, pas d'autre but que de se procurer, également dans son propre intérêt, des stupéfiants pour les rapporter chez eux, se rend coupable de transport de la drogue, même si les passagers portent celle-ci sur eux.</w:t>
      </w:r>
    </w:p>
    <w:p>
      <w:r>
        <w:t>Regesto Art. 19 n. 1 cpv. 3 LS ("trasporto"). Chi effettua un percorso in automobile con il quale i passeggeri si propongono esclusivamente, in modo per lui riconoscibile e anche nel suo proprio interesse, di procurarsi stupefacenti e di portarseli a casa, si rende colpevole di trasporto di stupefacenti, anche se i passeggeri portano questi ultimi su di sé.</w:t>
      </w:r>
    </w:p>
    <w:p>
      <w:pPr>
        <w:pStyle w:val="Heading2"/>
      </w:pPr>
      <w:r>
        <w:t>Erwägungen</w:t>
      </w:r>
    </w:p>
    <w:p>
      <w:r>
        <w:rPr>
          <w:b/>
        </w:rPr>
        <w:t>E. 1</w:t>
      </w:r>
    </w:p>
    <w:p>
      <w:r>
        <w:t>Die Vorinstanz stellte fest, die Handlung des Beschwerdeführers habe den objektiven Tatbestand des unbefugten Beförderns von Betäubungsmitteln erfüllt und stelle nicht irgendeinen untergeordneten, vom Gesetz nicht als selbständiges Delikt erfassten Beitrag zur Tat eines Dritten dar. Dieser Auffassung widerspricht der Beschwerdeführer mit dem Hauptargument, das Transportieren von Personen, die Drogen auf sich tragen, erfülle den Straftatbestand der Drogenbeförderung nicht, sondern stelle nur Gehilfenschaft dar. a) Dem kann nicht zugestimmt werden. Wer eine Autofahrt unternimmt, bei der Mitfahrer für ihn ersichtlich und auch in seinem eigenen Interesse das ausschliessliche Ziel haben, Betäubungsmittel zu erwerben und zu sich nach Hause zu bringen, macht sich der Beförderung der eingekauften Drogen i.S. von Art. 19 Ziff. 1 Abs. 3 BetmG schuldig. Sein Verhalten ist dann, wenn die Mitfahrer die Betäubungsmittel bei der Rückreise auf sich tragen, nicht anders zu beurteilen, als wenn er allein mit dem Auto, in welchem die eingekauften Drogen versteckt worden sind, heimfährt. Diese Betrachtungsweise entspricht auch der Absicht des Gesetzgebers, der möglichst alle im Zusammenhang mit dem Handel von Betäubungsmitteln stehenden Handlungen bestraft wissen wollte. Gehilfenschaft liegt demgegenüber nicht vor. Das Befördern stellt einen selbständigen Tatbestand dar. Ausschliesslich der Beschwerdeführer lenkte den Wagen und beförderte somit die bei den Mitfahrern befindlichen Betäubungsmittel in eigener Person auf der ganzen Strecke. b) Was in der Beschwerde vorgebracht wird, dringt nicht durch. Auch bei der im vorliegenden Urteil vertretenen Auffassung bleibt Gehilfenschaft zu Betäubungsmittelvergehen möglich (vgl. z.B. BGE 113 IV 90 f., wonach blosse Pannenhilfe Gehilfenschaft zur Beförderung von Betäubungsmitteln darstellt). Dass es zur Erfüllung des Tatbestandes von Art. 19 Ziff. 1 Abs. 3 BetmG "einer Herrschaft über die Sache oder Gewahrsam an ihr" bedürfe, lässt sich dem Gesetzeswortlaut nicht entnehmen. Das Besitzen von Betäubungsmitteln ist nebst dem Befördern derselben selbständig unter Strafe gestellt; wäre die Auffassung des Beschwerdeführers richtig, käme dem Tatbestand des Beförderns keine Bedeutung mehr zu; folglich kann nicht nur "derjenige eine Ware befördern, BGE 114 IV 162 S. 164 der sie auch besitzt" (a. A. ALFRED SCHÜTZ, Die Strafbestimmungen des Bundesgesetzes über die Betäubungsmittel vom 3. Oktober 1951 in der Fassung vom 20. März 1975, Diss. ZH 1980, S. 111). Beim Wortlaut des Gesetzes kann von einer extensiven Auslegung nicht die Rede sein. Unerfindlich ist, wieso es bei der vorliegenden Lösung zu einer "erheblichen Rechtsunsicherheit" kommen sollte. Der Vermieter, der von seinem Mieter weiss, dass dieser in der Wohnung Drogen aufbewahrt, macht sich nicht strafbar, denn er hat keinen Gewahrsam an den Drogen, d.h. er besitzt sie nicht (vgl. ALFRED SCHUTZ, a.a.O., S. 123), und eine andere Tatbestandsvariante kommt nicht in Frage. Wie es sich bei einem Automobilisten verhält, der einen Autostopper mitnimmt, von dem er weiss, dass dieser Drogen bei sich hat, kann heute offenbleiben, denn im vorliegenden Fall wurde die Autofahrt ausschliesslich zum Zweck der Drogenbeschaffung unternommen, und der Beschwerdeführer lenkte den Wagen vom Ausgangsort zum Handelsplatz und wieder an den Ausgangsort zurück. Auch aus der Systematik des Art. 19 Ziff. 1 BetmG ergibt sich nichts anderes. Diese folgt im wesentlichen dem zeitlichen Ablauf von Drogenherstellung und Drogenumschlag. Deshalb ist es folgerichtig, dass die Beförderung vor der Verteilung und dem Besitz aufgeführt ist. Daraus ergibt sich aber nicht, dass der Besitz notwendige Voraussetzung der Beförderung wäre. In dieser Betrachtungsweise ist ein "logischer Fehler" nicht zu 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