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w:t>
      </w:r>
    </w:p>
    <w:p>
      <w:r>
        <w:t>Bundesgericht (BGE), 1988-01-01, DE</w:t>
      </w:r>
    </w:p>
    <w:p>
      <w:r>
        <w:rPr>
          <w:b/>
        </w:rPr>
        <w:t xml:space="preserve">Quelle: </w:t>
      </w:r>
      <w:r>
        <w:t>https://mcp.opencaselaw.ch/entscheid/bge_BGE_114_IV_16</w:t>
      </w:r>
    </w:p>
    <w:p>
      <w:r>
        <w:t>FR: ATF 114 IV 16</w:t>
      </w:r>
    </w:p>
    <w:p>
      <w:r>
        <w:t>IT: DTF 114 IV 16</w:t>
      </w:r>
    </w:p>
    <w:p>
      <w:pPr>
        <w:pStyle w:val="Heading2"/>
      </w:pPr>
      <w:r>
        <w:t>Regeste</w:t>
      </w:r>
    </w:p>
    <w:p>
      <w:r>
        <w:t>Regeste Verletzung des Schriftgeheimnisses (Art. 179 StGB). Mit dem Vermerk "zu Händen ..." auf einer Briefadresse wird, soweit keine abweichenden Indizien vorliegen, nach der Verkehrsübung nicht zum Ausdruck gebracht, dass allein die genannte Person zum Öffnen des Briefes befugt sein soll, sondern dass nach der Meinung des Absenders diese Person innerhalb der angeschriebenen Institution zur Behandlung des Schreibens zuständig sei.</w:t>
      </w:r>
    </w:p>
    <w:p>
      <w:r>
        <w:t>Regeste Violation des secrets privés (art. 179 CP). En l'absence d'indices contraires, la mention "à l'intention de ...", sur une adresse, n'a pas, selon l'usage des affaires, la signification que seule la personne désignée a le droit d'ouvrir le pli, mais seulement que, dans l'esprit de l'auteur de l'écrit, c'est cette personne qui, dans le cadre de l'institution destinataire, est compétente pour traiter l'affaire.</w:t>
      </w:r>
    </w:p>
    <w:p>
      <w:r>
        <w:t>Regesto Violazione di segreti privati (art. 179 CP). In assenza d'indizi contrari, la menzione "all'attenzione di ..." in un indirizzo apposto su di una busta non significa, nei rapporti d'affari correnti, che solo la persona indicata ha diritto di aprire il plico, bensì soltanto che, secondo il mittente, tale persona è, nel quadro dell'istituzione destinataria, competente a trattare l'oggetto della lettera.</w:t>
      </w:r>
    </w:p>
    <w:p>
      <w:pPr>
        <w:pStyle w:val="Heading2"/>
      </w:pPr>
      <w:r>
        <w:t>Erwägungen</w:t>
      </w:r>
    </w:p>
    <w:p>
      <w:r>
        <w:rPr>
          <w:b/>
        </w:rPr>
        <w:t>E. 1</w:t>
      </w:r>
    </w:p>
    <w:p>
      <w:r>
        <w:t>Gemäss Art. 179 StGB wird, auf Antrag, mit Haft oder mit Busse bestraft, wer, ohne dazu berechtigt zu sein, eine verschlossene BGE 114 IV 16 S. 18 Schrift oder Sendung öffnet, um von ihrem Inhalt Kenntnis zu nehmen (Abs. 1), und wer Tatsachen, deren Kenntnis er durch Öffnen einer nicht für ihn bestimmten verschlossenen Schrift oder Sendung erlangt hat, verbreitet oder ausnützt (Abs. 2). a) Die drei Schreiben waren nach den zutreffenden Ausführungen im angefochtenen Urteil nicht an die Beschwerdeführerin persönlich, sondern an das Kirchgemeindezentrum bzw. an die Kirchgemeinde X. gerichtet, wobei Frau R. von den Absendern als die zuständige Sachbearbeiterin betrachtet wurde. Das "Ref. Kirchgemeindezentrum" bzw. die "Ref. Kirchgemeinde" sind entgegen der Meinung der Beschwerdeführerin nicht blosse Zustellorte. Durch die Anschriften: an das "Kirchgemeindezentrum ... (X.) ..., z.H. Frau R. ..." bzw. an die "Kirchgemeinde ... (X.) ..., Frau R. ..." wird nach der Verkehrsübung nicht zum Ausdruck gebracht, dass allein Frau R. zum Öffnen der fraglichen Schreiben befugt sein soll, sondern vielmehr, dass nach Meinung der Absender Frau R. innerhalb der angeschriebenen Institution zur Behandlung der Schreiben zuständig sei. Anders verhielte es sich dann, wenn die Adressen den Vermerk "persönlich" enthalten hätten, sowie allenfalls dann, wenn die Briefe an "Frau R. ..., c/o Ref. Kirchgemeindezentrum" bzw. an "Frau R. ..., c/o Ref. Kirchgemeinde" adressiert gewesen wären. b) Der Beschwerdegegner öffnete die drei Briefe in seiner Eigenschaft als Präsident der reformierten Kirchenpflege X. Die Kirchenpflege ist gemäss den im angefochtenen Urteil erwähnten Richtlinien für den Dienst des Gemeindehelfers der evangelisch-reformierten Landeskirche des Kantons Aargau vom 4. Februar 1981 die vorgesetzte Behörde des Gemeindehelfers; sie regelt unter anderem im Einvernehmen mit dem Gemeindehelfer dessen Pflichtenheft. Der Beschwerdegegner war als Präsident der Kirchenpflege nach der zutreffenden Auffassung der Vorinstanz berechtigt, die fraglichen Briefe zu öffnen.</w:t>
      </w:r>
    </w:p>
    <w:p>
      <w:r>
        <w:rPr>
          <w:b/>
        </w:rPr>
        <w:t>E. 2</w:t>
      </w:r>
    </w:p>
    <w:p>
      <w:r>
        <w:t>a) Die Beschwerdeführerin weist darauf hin, dass ihre Aufgaben als Gemeindehelferin gemäss Pflichtenheft von der Überwachung von Reparaturarbeiten und der Führung der Veranstaltungskasse bis hin zur Mitarbeit im Pfarramt und zur persönlichen Betreuung von Kirchenmitgliedern reichten. Sie macht geltend, dass sich Kirchenmitglieder oft mit sehr persönlichen Anliegen und Problemen an sie wandten, dass sie in ihrer Funktion als Hilfsperson des Pfarrers dem Berufsgeheimnis gemäss Art. 321 StGB unterstand, was in ihrem Anstellungsvertrag noch ausdrücklich BGE 114 IV 16 S. 19 festgehalten wurde, und dass der Beschwerdegegner daher die fraglichen Briefe nicht habe öffnen dürfen. Ob der Beschwerdegegner auch insoweit der Vorgesetzte der Beschwerdeführerin war, als diese als Hilfsperson des Pfarrers im Sinne von Art. 321 StGB eine Vertrauensstellung innehatte, und ob der Beschwerdegegner in seiner Eigenschaft als Präsident der Kirchenpflege einen an das "Ref. Kirchgemeindezentrum, z.H. Frau R. ..." bzw. an die "Ref. Kirchgemeinde, Frau R. ..." adressierten Brief auch dann hätte öffnen dürfen, wenn er aufgrund weiterer Angaben auf dem Briefumschlag (etwa angesichts der Person des Absenders) erkennen musste, dass das Schreiben möglicherweise nicht finanzielle oder administrative Belange der Kirchgemeinde betreffe, kann vorliegend dahingestellt bleiben. Die Absender der drei vom Beschwerdegegner geöffneten Briefe waren, gemäss den Angaben auf den Briefumschlägen, die reformierte Kirchgemeinde Zofingen, die Elektro-Berger AG und der 'Gmües-Chratte', woraus deutlich ersichtlich wurde, dass die fraglichen Schreiben - entsprechend der Anschrift - finanzielle oder administrative Belange der Kirchgemeinde betrafen, welche auch in den Zuständigkeitsbereich des Beschwerdegegners als Präsident der Kirchenpflege und Vorgesetzter der Beschwerdeführerin fielen. b) Dass die Beschwerdeführerin mit Schreiben vom 1. April 1987 an die reformierte Kirchenpflege X. unter Hinweis auf ihr Berufsgeheimnis gemäss Art. 321 StGB verlangte, die für sie bestimmten Briefe seien ungeöffnet an sie weiterzuleiten, ist entgegen einer Bemerkung in der Beschwerde unerheblich. Der Beschwerdegegner handelte nicht als Beauftragter der Beschwerdeführerin oder als deren Geschäftsführer ohne Auftrag, sondern als deren Vorgesetzter, und seine Befugnis zum Öffnen von Briefen, die offensichtlich finanzielle oder administrative Belange der Kirchgemeinde betrafen, hing daher nicht von der Einwilligung der Beschwerdeführerin ab. Der Beschwerdegegner erfüllte somit nach der zutreffenden Auffassung der Vorinstanz den Tatbestand von Art. 179 Abs. 1 StGB nicht.</w:t>
      </w:r>
    </w:p>
    <w:p>
      <w:r>
        <w:rPr>
          <w:b/>
        </w:rPr>
        <w:t>E. 3</w:t>
      </w:r>
    </w:p>
    <w:p>
      <w:r>
        <w:t>Bei den fraglichen drei Briefen handelt es sich aus den genannten Gründen nicht um Schriften, die im Sinne von Art. 179 Abs. 2 StGB nicht für den Beschwerdegegner bestimmt waren. Dieser erfüllte daher dadurch, dass er das von ihm geöffnete Schreiben der Elektro-Berger AG, welches einen Kostenvoranschlag BGE 114 IV 16 S. 20 für elektrische Installationen enthielt, an die seines Erachtens dafür zuständige Frau N. weiterleitete, auch nicht den Tatbestand von Art. 179 Abs. 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