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159</w:t>
      </w:r>
    </w:p>
    <w:p>
      <w:r>
        <w:t>Bundesgericht (BGE), 1988-01-01, DE</w:t>
      </w:r>
    </w:p>
    <w:p>
      <w:r>
        <w:rPr>
          <w:b/>
        </w:rPr>
        <w:t xml:space="preserve">Quelle: </w:t>
      </w:r>
      <w:r>
        <w:t>https://mcp.opencaselaw.ch/entscheid/bge_BGE_114_IV_159</w:t>
      </w:r>
    </w:p>
    <w:p>
      <w:r>
        <w:t>FR: ATF 114 IV 159</w:t>
      </w:r>
    </w:p>
    <w:p>
      <w:r>
        <w:t>IT: DTF 114 IV 159</w:t>
      </w:r>
    </w:p>
    <w:p>
      <w:pPr>
        <w:pStyle w:val="Heading2"/>
      </w:pPr>
      <w:r>
        <w:t>Regeste</w:t>
      </w:r>
    </w:p>
    <w:p>
      <w:r>
        <w:t>Regeste Art. 16 Abs. 4, Art. 97 Ziff. 1 Abs. 2 SVG. Nichtabgabe des wegen Nichtbezahlens von Verkehrsgebühren entzogenen Fahrzeugausweises. Der Entzug des Fahrzeugausweises wegen Nichtbezahlens von Verkehrsgebühren ist nur so lange möglich, als der Gebührenschuldner Halter des Fahrzeuges ist, für welches die Verkehrsgebühren ausstehend sind. Ist er nicht mehr Halter dieses Fahrzeuges, kann ihm nicht der Ausweis betreffend ein anderes Fahrzeug, für das er keine Verkehrsgebühren schuldet, entzogen werden. Der Entzug des ein anderes Fahrzeug betreffenden Ausweises stellt eine offensichtliche Gesetzesverletzung dar, und die Nichtabgabe dieses Fahrzeugausweises ist daher nicht strafbar.</w:t>
      </w:r>
    </w:p>
    <w:p>
      <w:r>
        <w:t>Regeste Art. 16 al. 4, art. 97 ch. 1 al. 2 LCR. Refus de déposer un permis de circulation retiré pour défaut du paiement des taxes de circulation. Le retrait du permis de circulation pour défaut du paiement des taxes de circulation ne peut durer que le temps pendant lequel le débiteur des taxes est détenteur du véhicule pour lequel les taxes sont dues. S'il n'est plus détenteur de ce véhicule, on ne peut lui retirer le permis de circulation d'un autre véhicule, pour lequel il n'est pas débiteur de taxes de circulation. Le retrait du permis de circulation de l'autre véhicule constitue une violation manifeste de la loi, aussi le refus de le déposer n'est-il pas punissable.</w:t>
      </w:r>
    </w:p>
    <w:p>
      <w:r>
        <w:t>Regesto Art. 16 cpv. 4, art. 97 n. 1 cpv. 2 LCS. Rifiuto di restituire una licenza di circolazione revocata per omesso pagamento delle tasse di circolazione. La revoca della licenza di circolazione per omesso pagamento delle tasse di circolazione è possibile soltanto finché il debitore delle tasse sia detentore del veicolo per il quale le tasse sono dovute. Ove non sia più detentore di tale veicolo, non può essergli revocata la licenza di circolazione di un altro veicolo per il quale non è debitore delle tasse di circolazione. La revoca della licenza di circolazione dell'altro veicolo costituisce una violazione manifesta della legge, di modo che il rifiuto di restituire detta licenza non è punibile.</w:t>
      </w:r>
    </w:p>
    <w:p>
      <w:pPr>
        <w:pStyle w:val="Heading2"/>
      </w:pPr>
      <w:r>
        <w:t>Erwägungen</w:t>
      </w:r>
    </w:p>
    <w:p>
      <w:r>
        <w:rPr>
          <w:b/>
        </w:rPr>
        <w:t>E. 3</w:t>
      </w:r>
    </w:p>
    <w:p>
      <w:r>
        <w:t>b) Die Entzugsverfügung des Strassenverkehrsamtes des Kantons Zürich vom 10. September 1986 beruht entgegen der Auffassung der Vorinstanz auf einer offensichtlichen Verletzung von Art. 16 Abs. 4 SVG . Die Ausführungen im angefochtenen Entscheid vermögen nicht zu überzeugen. Wohl ist in Art. 16 Abs. 4 SVG schlicht von "Verkehrsgebühren" die Rede, worunter an sich auch Gebühren verstanden werden können, die nicht für dasjenige Fahrzeug geschuldet werden, welches im Fahrzeugausweis, der Gegenstand der Entzugsverfügung bildet, genannt wird. Zwischen dem Entzug des Fahrzeugausweises und den ausstehenden Gebühren muss indessen ein sachlicher Zusammenhang in dem Sinne bestehen, als Ausweisentzug und Gebührenschuld dasselbe Fahrzeug betreffen. Darauf deutet schon der Wortlaut von Art. 11 Abs. 2 SVG hin, wonach der Fahrzeugausweis verweigert werden kann, wenn der Halter die Verkehrssteuern oder -gebühren BGE 114 IV 159 S. 161 "für das Fahrzeug" nicht entrichtet. Nach Sinn und Zweck von Art. 16 Abs. 4 SVG sollen der Fahrzeugausweis und die Kontrollschilder desjenigen Wagens entzogen werden, für welchen die Verkehrsgebühren ausstehend sind; dieses Fahrzeug soll dadurch aus dem Verkehr gezogen werden, solange die ausstehenden Gebühren nicht bezahlt sind. Daran vermag nichts zu ändern, dass bei einem Halterwechsel dem neuen Halter der Fahrzeugausweis nicht wegen noch ausstehender Gebühren, die der bisherige Halter schuldet, verweigert werden darf. Dies bedeutet nur, dass zusätzlich zum genannten sachlichen Zusammenhang zwischen dem Fahrzeugausweisentzug und der Gebührenschuld auch ein persönlicher Zusammenhang in dem Sinne vorliegen muss, als der Ausweisentzug nur möglich ist, solange der Gebührenschuldner Halter des Fahrzeuges ist, für welches die Gebühren noch ausstehend sind. Der Umstand, dass bei einem Halterwechsel dem neuen Halter der Fahrzeugausweis nicht wegen der Gebührenschulden des bisherigen Halters verweigert werden darf, kann nicht zur Folge haben, dass dem bisherigen Halter, der die Gebühren trotz des Halterwechsels nach wie vor schuldet, im Falle der Nichtbezahlung dieser Gebühren kurzerhand der Fahrzeugausweis betreffend ein anderes Fahrzeug, welches er - früher oder später - an Stelle des verkauften Wagens erworben oder schon neben diesem gehalten hat, entzogen werden dürfe. Es ist entgegen einer Andeutung im angefochtenen Entscheid auch unerheblich, dass der in der Entzugsverfügung genannte BMW 318i dieselbe Kontrollschildnummer hat wie der BMW 316, für welchen der Beschwerdeführer noch Verkehrsgebühren schuldete. Der Entzug der Kontrollschilder ist lediglich die zwangsläufige Folge des Entzugs des Fahrzeugausweises ( Art. 106 Abs. 3 VZV ). Der Fahrzeugausweis betreffend den BMW 318i konnte dem Beschwerdeführer nach dem Gesagten aber nicht entzogen werden, da für diesen Wagen keine Gebühren ausstehend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