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144</w:t>
      </w:r>
    </w:p>
    <w:p>
      <w:r>
        <w:t>Bundesgericht (BGE), 1988-01-01, DE</w:t>
      </w:r>
    </w:p>
    <w:p>
      <w:r>
        <w:rPr>
          <w:b/>
        </w:rPr>
        <w:t xml:space="preserve">Quelle: </w:t>
      </w:r>
      <w:r>
        <w:t>https://mcp.opencaselaw.ch/entscheid/bge_BGE_114_IV_144</w:t>
      </w:r>
    </w:p>
    <w:p>
      <w:r>
        <w:t>FR: ATF 114 IV 144</w:t>
      </w:r>
    </w:p>
    <w:p>
      <w:r>
        <w:t>IT: DTF 114 IV 144</w:t>
      </w:r>
    </w:p>
    <w:p>
      <w:pPr>
        <w:pStyle w:val="Heading2"/>
      </w:pPr>
      <w:r>
        <w:t>Regeste</w:t>
      </w:r>
    </w:p>
    <w:p>
      <w:r>
        <w:t>Regeste Art. 35 SVG und 39 Abs. 1 VRV; Überholen. Wer an einem Fahrzeug vorbeiführt, das wegen der Verkehrslage vorübergehend wartet, überholt im Rechtssinne; dieser Begriff erfordert somit nicht, dass sich beide Fahrzeuge in Bewegung befinden (Präzisierung der Rechtsprechung).</w:t>
      </w:r>
    </w:p>
    <w:p>
      <w:r>
        <w:t>Regeste Art. 35 LCR et 39 al. 1 OCR; dépassement. Celui qui passe à côté d'un véhicule arrêté à cause du trafic entreprend un dépassement au sens de la loi; cette notion n'implique pas en effet que les deux véhicules en cause soient en mouvement (précision de la jurisprudence).</w:t>
      </w:r>
    </w:p>
    <w:p>
      <w:r>
        <w:t>Regesto Art. 35 LCS e 39 cpv. 1 ONCS; sorpasso. Chi passa a lati di un veicolo fermo a causa del traffico effettua un sorpasso ai sensi della legge; tale nozione non presuppone infatti che i due veicoli siano in movimento (precisazione della giurisprudenza).</w:t>
      </w:r>
    </w:p>
    <w:p>
      <w:pPr>
        <w:pStyle w:val="Heading2"/>
      </w:pPr>
      <w:r>
        <w:t>Erwägungen</w:t>
      </w:r>
    </w:p>
    <w:p>
      <w:r>
        <w:rPr>
          <w:b/>
        </w:rPr>
        <w:t>E. 1</w:t>
      </w:r>
    </w:p>
    <w:p>
      <w:r>
        <w:t>Gemäss Art. 39 Abs. 1 VRV ist in Tunneln das Überholen von Motorwagen in einer Fahrrichtung, in der nur ein Fahrstreifen besteht, untersagt. Umstritten ist einzig, ob der Beschwerdeführer, als er an den stehenden Personenwagen vorbeifuhr, im Rechtssinn überholt hat. Als Überholen gilt, wenn ein schnelleres Fahrzeug ein in gleicher Richtung langsamer vorausfahrendes einholt, an ihm vorbeifährt und vor ihm die Fahrt fortsetzt ( BGE 104 IV 196 f. E. 2 mit Hinweisen). Ob auch stehende Fahrzeuge überholt werden können, ist bisher nicht entschieden worden. Indessen ist geklärt, dass vorübergehendes, durch die Verkehrslage bedingtes Anhalten, etwa vor einem Rotlicht oder einem Stopsignal, zur Gewährung des Vortritts oder in Befolgung der Grundregel von Art. 26 SVG dem Anhalten oder Parkieren gemäss Art. 37 Abs. 2 SVG und Art. 18 f. VRV nicht gleichgesetzt werden kann ( BGE 101 IV 229 E. 2); nur das auf der Fahrbahn abgestellte Fahrzeug gilt deshalb als Hindernis ( BGE 106 IV 285 E. 3). Wer verkehrsbedingt wartet und dabei fahrbereit bleibt, befindet sich nach wie vor im (fliessenden) Verkehr und fügt sich folglich nicht in den Verkehr ein, wenn er nach Wegfall des Hinderungsgrundes weiterfährt. Ein Fahrzeug in einer solchen Situation als Hindernis zu betrachten, widerspricht den tatsächlichen Gegebenheiten und ist im Blick auf die BGE 114 IV 144 S. 146 Rechtsfolge, wonach sämtliche Verkehrsteilnehmer ihm gegenüber vortrittsberechtigt wären ( Art. 36 Abs. 4 SVG ), abwegig. Somit überholt, wer an einem Fahrzeug vorbeifährt, das wegen der Verkehrslage vorübergehend wartet; anderseits erfordert Überholen im Rechtssinn nicht, dass beide Fahrzeuge sich in Bewegung befinden. Diese Betrachtungsweise entspricht schweizerischer Lehre (SCHAFFHAUSER, Grundriss des schweizerischen Strassenverkehrsrechts I, S. 200 Rn. 542) sowie deutscher Rechtsprechung (JAGUSCH/HENTSCHEL, Strassenverkehrsrecht, 29. Aufl., S. 350 N. 16 mit Hinweisen). Weshalb sich beide Fahrzeuge in Bewegung befinden müssten, damit ein Überholen angenommen werden könnte (BUSSY/RUSCONI, Code suisse de la circulation routière, S. 203 N. 2.1), wird nicht begründet und offenbart sich als widersprüchlich, wenn anderseits zutreffend vorausgesetzt wird, nur ein haltendes oder parkiertes, nicht aber ein im Verkehrsfluss angehaltenes Fahrzeug werde in den Verkehr eingefügt (BUSSY/RUSCONI, a.a.O., S. 245 N. 4.3). Die Nichtigkeitsbeschwerde erweist sich demnach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