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100</w:t>
      </w:r>
    </w:p>
    <w:p>
      <w:r>
        <w:t>Bundesgericht (BGE), 1988-01-01, DE</w:t>
      </w:r>
    </w:p>
    <w:p>
      <w:r>
        <w:rPr>
          <w:b/>
        </w:rPr>
        <w:t xml:space="preserve">Quelle: </w:t>
      </w:r>
      <w:r>
        <w:t>https://mcp.opencaselaw.ch/entscheid/bge_BGE_114_IV_100</w:t>
      </w:r>
    </w:p>
    <w:p>
      <w:r>
        <w:t>FR: ATF 114 IV 100</w:t>
      </w:r>
    </w:p>
    <w:p>
      <w:r>
        <w:t>IT: DTF 114 IV 100</w:t>
      </w:r>
    </w:p>
    <w:p>
      <w:pPr>
        <w:pStyle w:val="Heading2"/>
      </w:pPr>
      <w:r>
        <w:t>Regeste</w:t>
      </w:r>
    </w:p>
    <w:p>
      <w:r>
        <w:t>Regeste Art. 117 StGB; fahrlässige Tötung. Adäquater Kausalzusammenhang und Sorgfaltspflichtsverletzung bejaht bei einem Todesfall als Folge von Sexspielen mit aussergewöhnlicher Strangulationstechnik.</w:t>
      </w:r>
    </w:p>
    <w:p>
      <w:r>
        <w:t>Regeste Art. 117 CP; homicide par négligence. Admission d'un lien de causalité et d'une violation des devoirs de prudence, dans le cas d'un décès survenu à la suite de comportements sexuels faisant appel à des pratiques de strangulation hors du commun.</w:t>
      </w:r>
    </w:p>
    <w:p>
      <w:r>
        <w:t>Regesto Art. 117 CP; omicidio colposo. Ammesso un nesso di causalità adeguata e di una violazione degli obblighi di diligenza nel caso di un decesso intervenuto a seguito di pratiche sessuali comportanti una tecnica di strangolazioni fuori del comune.</w:t>
      </w:r>
    </w:p>
    <w:p>
      <w:pPr>
        <w:pStyle w:val="Heading2"/>
      </w:pPr>
      <w:r>
        <w:t>Erwägungen</w:t>
      </w:r>
    </w:p>
    <w:p>
      <w:r>
        <w:rPr>
          <w:b/>
        </w:rPr>
        <w:t>E. 1</w:t>
      </w:r>
    </w:p>
    <w:p>
      <w:r>
        <w:t>Die natürliche Kausalität zwischen den Sexspielen und dem Tod des Z. wird in der Beschwerde nicht bestritten; dies wäre im vorliegenden Verfahren auch nicht zulässig, da es um tatsächliche Feststellungen geht ( Art. 277bis Abs. 1 BStP ). Die Beschwerdeführerin macht jedoch geltend, sie habe weder eine Sorgfaltspflicht missachtet noch den eingetretenen Erfolg und den Kausalverlauf "in groben Zügen" voraussehen können; zudem sei der adäquate Kausalzusammenhang durch die "erstmalig angewandte Bauchlage und die massive Irritation der nervösen Strukturen ... unterbrochen" worden.</w:t>
      </w:r>
    </w:p>
    <w:p>
      <w:r>
        <w:rPr>
          <w:b/>
        </w:rPr>
        <w:t>E. 2</w:t>
      </w:r>
    </w:p>
    <w:p>
      <w:r>
        <w:t>Es steht fest, dass nach dem gewöhnlichen Lauf der Dinge und der allgemeinen Lebenserfahrung eine Strangulation zum Tod eines Menschen führen kann. Die Beschwerdeführerin macht geltend, der adäquate Kausalzusammenhang sei durch die aussergewöhnliche Art des Vorgehens (Bauchlage) und durch die als Folge BGE 114 IV 100 S. 102 der Nervenreizungen verursachte Hemmung des Herzschlages unterbrochen worden. Beide Vorbringen gehen an der Sache vorbei. Die Bauchlage gehört zur Darstellung des im vorliegenden Fall zu beurteilenden Tatvorgehens, und es unterliegt keinem Zweifel, dass die Drosselung eines Menschen, auch wenn er sich in Bauchlage befindet, nach der allgemeinen Lebenserfahrung den Tod herbeiführen kann. Die Vorinstanz stellte fest, Z. sei "infolge der mehrmaligen Strangulation im Halsbereich ... erstickt"; selbst wenn "die Alkoholisierung des Verstorbenen und ein damit möglicher frühzeitiger reflektorischer Herzstillstand die konkreten Folgen der Strangulation beschleunigt haben", folgerte sie, sei der Todeseintritt adäquate Folge der Strangulationspraktiken gewesen. Bei der Annahme eines Erstickungstodes ist nicht zu sehen, wieso diese Erwägung verfehlt sein sollte.</w:t>
      </w:r>
    </w:p>
    <w:p>
      <w:r>
        <w:rPr>
          <w:b/>
        </w:rPr>
        <w:t>E. 3</w:t>
      </w:r>
    </w:p>
    <w:p>
      <w:r>
        <w:t>Die Beschwerdeführerin bestreitet, die sie treffende Sorgfaltspflicht verletzt zu haben. Folglich ist zu prüfen, ob für sie die Tatbestandserfüllung aus damaliger Sicht erkennbar gewesen ist bzw. ob der Tod als Folge der aussergewöhnlichen Sexualpraktiken voraussehbar war. Fahrlässigkeit bedeutet, dass der Täter in Missachtung der nach den Umständen und seinen persönlichen Verhältnissen gebotenen Sorgfalt die Folgen seines Verhaltens nicht bedacht oder darauf nicht Rücksicht genommen hat, obschon er sie nach objektiven Massstäben hätte bedenken und berücksichtigen müssen. Nicht erforderlich ist dabei, dass der Kausalverlauf bis in alle Einzelheiten vorausgesehen worden ist. Der Vorinstanz ist beizupflichten, dass es im Hinblick auf eine mögliche Todesfolge generell unvorsichtig ist, einen Menschen am Hals zu würgen. Dies war auch der Beschwerdeführerin nach ihrer eigenen Zugabe klar. Die Gefährdung wird ohne Zweifel noch verstärkt, wenn zur Strangulation ein Seil verwendet wird. Die geringe Schul- und Allgemeinbildung hilft der Beschwerdeführerin nicht, denn sie hat ja zugegebenermassen um die Gefährlichkeit der von ihr praktizierten Strangulation gewusst. Überdies nahm sie nicht zum ersten Mal an Sexspielen der in Frage stehenden Art teil. Wenn sie mit ihrer einschlägigen Erfahrung aber bei einer auch für sie ungewöhnlichen Variante mitmachte, von der sie bedenken musste, dass sie besonders gefährlich sein könnte, so kann ihr heute der Vorwurf der Sorgfaltswidrigkeit nicht erspart werden. Dass es ihr nicht konkret bewusst war, dass wegen der Bauchlage und der Alkoholisierung des Z. ein frühzeitiger reflektorischer BGE 114 IV 100 S. 103 Herzstillstand die Folgen der Strangulation beschleunigen könnte, spielt keine Rolle. Entscheidend ist, dass sie die besondere Gefährlichkeit der vorgenommenen Strangulation erkennen konnte. Immerhin ging auch die Vorinstanz zu Recht von nur geringer Fahrlässigkeit aus.</w:t>
      </w:r>
    </w:p>
    <w:p>
      <w:r>
        <w:rPr>
          <w:b/>
        </w:rPr>
        <w:t>E. 4</w:t>
      </w:r>
    </w:p>
    <w:p>
      <w:r>
        <w:t>Schliesslich fragt es sich, ob die Beschwerdeführerin etwas für sich aus dem Umstand herleiten kann, dass es Z. war, der die vorgenommenen Handlungen verlangt hat. Dieser Einwand vermag schon deshalb nicht zu überzeugen, weil mindestens die Gefahr einer schweren Körperschädigung im vorliegend zu beurteilenden Fall derart nahe lag, dass der Rechtfertigungsgrund der Einwilligung des Verletzten nicht in Betracht kommt. Nichts berechtigte die Beschwerdeführerin zur Annahme, Z. würde in jede Gefährdung einwilligen. Bei dieser klaren Sachlage kann offen bleiben, ob bei Fahrlässigkeitsdelikten eine Einwilligung des Verletzten begrifflich überhaupt möglich ist (vgl. dazu BGE 91 IV 124 E. 5; ANDREAS DONATSCH, Die Selbstgefährdung des Verletzten im Strafrecht, ZStrR 105/1988, S. 369; ARTHUR HAEFLIGER, Über Einwilligung des Verletzten im Strafrecht, ZStrR 67/1952, S. 94; STRATENWERTH, Schweizerisches Strafrecht AT I S. 407; NOLL/TRECHSEL, Schweizerisches Strafrecht AT I S. 230; SCHUBARTH, Kommentar I, Systematische Einleitung N 167 und Art. 117 N 76 ff.; SCHÖNKE/SCHRÖDER/LENCKNER, 23. Aufl., vor § § 32 N 102 ff.; SAMSON, SK, Anhang zu § 16 N 33 ). Der Umstand, dass der Getötete das gefährliche Unternehmen selber wünschte, ist bei der Strafzumessung zu berücksichtigen, und die Vorinstanz hat das Verschulden der Beschwerdeführerin denn auch zu Recht als geringfügig eingestuft.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