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421</w:t>
      </w:r>
    </w:p>
    <w:p>
      <w:r>
        <w:t>Bundesgericht (BGE), 1988-01-01, DE</w:t>
      </w:r>
    </w:p>
    <w:p>
      <w:r>
        <w:rPr>
          <w:b/>
        </w:rPr>
        <w:t xml:space="preserve">Quelle: </w:t>
      </w:r>
      <w:r>
        <w:t>https://mcp.opencaselaw.ch/entscheid/bge_BGE_114_II_421</w:t>
      </w:r>
    </w:p>
    <w:p>
      <w:r>
        <w:t>FR: ATF 114 II 421</w:t>
      </w:r>
    </w:p>
    <w:p>
      <w:r>
        <w:t>IT: DTF 114 II 421</w:t>
      </w:r>
    </w:p>
    <w:p>
      <w:pPr>
        <w:pStyle w:val="Heading2"/>
      </w:pPr>
      <w:r>
        <w:t>Regeste</w:t>
      </w:r>
    </w:p>
    <w:p>
      <w:r>
        <w:t>Regeste Gewinnanteilsrecht der Miterben (Art. 619 ff. ZGB). Gewinnanteilsrecht in einem Fall, da neben einem Baurecht ein Kaufsrecht eingeräumt wurde, das erst nach Ablauf der vertraglich vereinbarten Gewinnbeteiligungsdauer geltend gemacht werden kann: Voraussetzungen der Begründung des Anspruchs und Berechnung des als Gewinnanteil zu entrichtenden Betrags.</w:t>
      </w:r>
    </w:p>
    <w:p>
      <w:r>
        <w:t>Regeste Droit des cohéritiers à une part au gain (art. 619 ss CC). Droit à une part au gain dans un cas où, à côté d'un droit de superficie, a été accordé un droit d'emption qui ne peut être invoqué qu'après l'écoulement de la durée, convenue par contrat, de la participation au gain: conditions nécessaires pour fonder la prétention et calcul du montant à verser comme part au gain.</w:t>
      </w:r>
    </w:p>
    <w:p>
      <w:r>
        <w:t>Regesto Partecipazione dei coeredi all'utile (art. 619 segg. CC). Partecipazione all'utile in un caso in cui, oltre un diritto di superficie, è stato accordato un diritto di compera da esercitare solo dopo la scadenza della durata, convenuta contrattualmente, della partecipazione all'utile; condizioni necessarie per far valere la pretesa e determinazione dell'ammontare da versare quale partecipazione all'utile.</w:t>
      </w:r>
    </w:p>
    <w:p>
      <w:pPr>
        <w:pStyle w:val="Heading2"/>
      </w:pPr>
      <w:r>
        <w:t>Erwägungen</w:t>
      </w:r>
    </w:p>
    <w:p>
      <w:r>
        <w:rPr>
          <w:b/>
        </w:rPr>
        <w:t>E. 1</w:t>
      </w:r>
    </w:p>
    <w:p>
      <w:r>
        <w:t>(...) (Ausführungen zur klägerischen Berufung, die unbegründet sei, weil, sollte der Vorkaufsfall tatsächlich eingetreten sein, das Vorkaufsrecht jedenfalls zu spät ausgeübt worden wäre.)</w:t>
      </w:r>
    </w:p>
    <w:p>
      <w:r>
        <w:rPr>
          <w:b/>
        </w:rPr>
        <w:t>E. 2</w:t>
      </w:r>
    </w:p>
    <w:p>
      <w:r>
        <w:t>a) Den der Klägerin zugesprochenen Gewinnanteil bestimmte der Appellationshof aufgrund des Kaufpreises, den die beiden Ehepaare im Falle der Ausübung des neben dem Baurecht vereinbarten Kaufsrechts gemäss Vertrag vom 6. Juni 1986 frühestens am 1. Mai 1997 - zu bezahlen haben würden (d.h. Fr. 170.-- je Quadratmeter). Für die Parzellen Nrn. 537 und BGE 114 II 421 S. 423 538 errechnete die Vorinstanz so einen Gesamtbetrag von Fr. 160'820.--, wovon sie den ursprünglichen Anrechnungspreis für die Stammparzelle Nr. 239 (gemäss Übernahmevertrag vom 21. Dezember 1981) von Fr. 680.-- in Abzug brachte, um auf einen Bruttogesamtgewinn von Fr. 160'140.-- und einen Anteil der Klägerin (1/3) von Fr. 53'380.-- zu gelangen. Von dieser Summe zog die Vorinstanz alsdann unter dem Titel "Besitzesdauerabzug 8% für 4 Jahre ( Art. 619bis Abs. 2 ZGB )" den Betrag von Fr. 4'270.40 und ferner die unter dem Titel Gewinnanteil bereits geleisteten Zahlungen von insgesamt Fr. 3'055.70 ab. Die Klägerin erhielt schliesslich einen Gewinnanspruch von Fr. 46'053.90 zugesprochen. b) Der Beklagte hält der vorinstanzlichen Betrachtungsweise entgegen, sie verstosse gegen Art. 619 ZGB ; sie trage der bundesgerichtlichen Rechtsprechung ( BGE 105 II 177 ) nicht Rechnung, wonach eine Gewinnbeteiligung ohne tatsächlich realisierten Gewinn nicht denkbar sei. Im Falle der Begründung eines Baurechts könne eine Gewinnbeteiligung nur an den jährlichen Baurechtszinsen beansprucht werden. Das Gewinnanteilsrecht der Klägerin bestehe hier noch bis zum 21. Dezember 1996. Für die Jahre 1986 und 1987 habe er der Klägerin die entsprechenden Beträge schon entrichtet. Was die noch ausstehenden Baurechtszinsen betreffe, so sei eine Diskontierung (im Ausmasse von jährlich 5%) vorzunehmen. Der Beklagte gelangt auf diesem Weg zu einem Anspruch der Klägerin von insgesamt Fr. 10'942.90. c) Bei seinen Überlegungen verkennt der Beklagte, dass im Rahmen von Art. 619 Abs. 2 ZGB das Entgelt für ein Nutzungsrecht, das auf einem veräusserungsähnlichen Rechtsgeschäft beruht, nicht in jedem Fall als Veräusserungsgewinn zu gelten hat. Die im Jahre 1965 in Kraft getretene Gesetzesbestimmung hat Klarheit darüber herbeigeführt, dass die rechtsgeschäftliche Umsetzung des Werts eines Grundstücks auch beim Fehlen einer Handänderung der Veräusserung der Liegenschaft gleichzusetzen ist (vgl. ESCHER, Kommentar zum Schweizerischen Zivilgesetzbuch, Ergänzungslieferung zum landwirtschaftlichen Erbrecht, N. 14 zu Art. 619 ZGB ). Bei einem veräusserungsähnlichen Tatbestand dieser Art ist deshalb von einem Gewinn auszugehen, der dem Element der Veräusserung in einem gewissen Masse Rechnung trägt. Freilich sind stets die Besonderheiten des konkreten Rechtsgeschäfts zu berücksichtigen, kommt doch die Wertumsetzung nicht in jedem Fall einer umfassenden Veräusserung BGE 114 II 421 S. 424 gleich (vgl. BGE 105 II 172 ff. betreffend die materielle Enteignung; BGE 97 II 309 ff. betreffend die Ausbeutung von Bodenbestandteilen). Hinsichtlich eines für längere Zeit eingeräumten Baurechts vertritt die Lehre die Ansicht, dass der kapitalisierte Baurechtszins dem massgeblichen Verkehrswert des Grundstücks entspreche (vgl. GASSER, Le droit des cohéritiers à une part de gain, Diss. Lausanne 1967, S. 121; PIOTET, in: Schweizerisches Privatrecht, Band IV/2, S. 965 f.). Dem mag entgegengehalten werden, dass dem Heimfallrecht zuwenig Beachtung geschenkt werde. Die grundsätzliche Gleichsetzung des Baurechts mit einer umfassenden Veräusserung ist indessen jedenfalls dann gerechtfertigt, wenn - wie vorliegend - insofern von einer eigentlichen Veräusserungsumgehung gesprochen werden muss, als das Baurecht mit einem Kaufsrecht verbunden ist, das erst nach Ablauf der Gewinnbeteiligungsdauer geltend gemacht werden kann. Auch bei dieser Verbindung von Rechten steht zwar nicht von vornherein fest, dass tatsächlich einmal ein Eigentümerwechsel eintreten wird. Wo aber - wie hier - von allem Anfang an und unabänderlich ein nicht der Teuerung anzupassender Kaufpreis und daneben ein bescheidener Baurechtszins (von 3%) vereinbart wird, darf füglich von einer sehr grossen Wahrscheinlichkeit der Ausübung des Kaufsrechts und damit von einer aufgeschobenen umfassenden Veräusserung ausgegangen werden. Es ist unter den gegebenen Umständen nicht zu beanstanden, wenn die Vorinstanz bei der Ermittlung des klägerischen Gewinnanteils auf den Kaufpreis abgestellt hat, wie er dereinst von den Baurechts- und Kaufsrechtsberechtigten zu zahlen sein würde. d) Der Appellationshof hat unter Berufung auf Art. 619bis Abs. 2 ZGB vom ermittelten Bruttogewinn zu Recht 8%, d.h. 2% je Jahr abgezogen, das bis zum Eintritt des veräusserungsähnlichen Tatbestands verflossen ist. Keineswegs ist dagegen eine weitere Diskontierung vorzunehmen, wie es der Beklagte hilfsweise beantragt. Der Tatsache, dass das Veräusserungsentgelt aufgeschoben worden ist, wird mit dem Baurechtszins Rechnung getragen, der inskünftig vollumfänglich dem Beklagten als Eigentümer der baurechtsbelasteten Grundstücke zukommen wird. Nach dem Gesagten fällt auch eine Reduktion des Kaufpreises von Fr. 170.-- auf Fr. 150.-- je Quadratmeter nicht in Betracht. Rechtfertigt der konkrete veräusserungsähnliche Tatbestand eine grundsätzliche Gleichstellung des abgeschlossenen Rechtsgeschäfts BGE 114 II 421 S. 425 mit dem Verkauf, kann Art. 619bis Abs. 2 ZGB nur bis zum Zeitpunkt des Vertragsschlusses Beachtung finden. Auch dem subeventualiter gestellten Antrag kann daher nicht entsprochen werden. Mithin ist die Berufung des Beklagten ebenfalls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