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418</w:t>
      </w:r>
    </w:p>
    <w:p>
      <w:r>
        <w:t>Bundesgericht (BGE), 1988-01-01, DE</w:t>
      </w:r>
    </w:p>
    <w:p>
      <w:r>
        <w:rPr>
          <w:b/>
        </w:rPr>
        <w:t xml:space="preserve">Quelle: </w:t>
      </w:r>
      <w:r>
        <w:t>https://mcp.opencaselaw.ch/entscheid/bge_BGE_114_II_418</w:t>
      </w:r>
    </w:p>
    <w:p>
      <w:r>
        <w:t>FR: ATF 114 II 418</w:t>
      </w:r>
    </w:p>
    <w:p>
      <w:r>
        <w:t>IT: DTF 114 II 418</w:t>
      </w:r>
    </w:p>
    <w:p>
      <w:pPr>
        <w:pStyle w:val="Heading2"/>
      </w:pPr>
      <w:r>
        <w:t>Regeste</w:t>
      </w:r>
    </w:p>
    <w:p>
      <w:r>
        <w:t>Regeste Teilung der Erbschaft; Mitwirkung der Behörde (Art. 609 Abs. 2 ZGB). Der Art. 86 des appenzell-ausserrhodischen Gesetzes vom 27. April 1969 über die Einführung des Schweizerischen Zivilgesetzbuches ist insofern mit dem im Zivilgesetzbuch verankerten Grundsatz der freien vertraglichen Erbteilung, insbesondere mit Art. 634 Abs. 1 ZGB, nicht vereinbar, als er bestimmt, dass jede Erbteilung unter der Aufsicht und Mitwirkung der Erbteilungskommission stattfinde.</w:t>
      </w:r>
    </w:p>
    <w:p>
      <w:r>
        <w:t>Regeste Partage successoral; concours de l'autorité (art. 609 al. 2 CC). L'art. 86 de la loi du canton d'Appenzell Rhodes-Extérieures du 27 avril 1969 sur l'application du Code civil suisse n'est pas compatible avec le principe du libre partage contractuel, ancré dans le Code civil, en particulier avec l'art. 634 al. 1 CC, dans la mesure où il prévoit que tout partage doit avoir lieu sous la surveillance et avec le concours de la commission de partage.</w:t>
      </w:r>
    </w:p>
    <w:p>
      <w:r>
        <w:t>Regesto Divisione ereditaria; intervento dell'autorità (art. 609 cpv. 2 CC). L'art. 86 della legge del cantone di Appenzello Esterno del 27 aprile 1969 sull'applicazione del codice civile svizzero è incompatibile con il principio della libera divisione contrattuale stabilito nel codice civile, in particolare con l'art. 634 cpv. 1 CC, nella misura in cui prevede che ogni divisione deve aver luogo sotto la vigilanza e con il concorso della commissione di divisione.</w:t>
      </w:r>
    </w:p>
    <w:p>
      <w:pPr>
        <w:pStyle w:val="Heading2"/>
      </w:pPr>
      <w:r>
        <w:t>Erwägungen</w:t>
      </w:r>
    </w:p>
    <w:p>
      <w:r>
        <w:rPr>
          <w:b/>
        </w:rPr>
        <w:t>E. 1</w:t>
      </w:r>
    </w:p>
    <w:p>
      <w:r>
        <w:t>Seinen Entscheid stützt der Regierungsrat auf Art. 86 des appenzell-ausserrhodischen Gesetzes vom 27. April 1969 über die Einführung des Schweizerischen Zivilgesetzbuches, wonach jede Erbteilung unter der Aufsicht und Mitwirkung der Erbteilungskommission stattfindet. Er ist der Ansicht, dass der Erbteilungsvertrag auch bei Einsetzung eines Willensvollstreckers zur Genehmigung einzureichen sei. Bei Erlass des Einführungsgesetzes sei der mögliche Konflikt mit dem im Schweizerischen Zivilgesetzbuch niedergelegten Grundsatz der freien vertraglichen Erbteilung erkannt worden; dennoch habe man aber am Obligatorium der amtlichen Teilung festgehalten. Der Regierungsrat weist auf die guten Erfahrungen hin, die mit dem alten Recht, das Erbschaftsprozesse zur Seltenheit habe werden lassen, gemacht worden seien. Im übrigen ist die kantonale Instanz der Auffassung, aus Lehre und Rechtsprechung ergebe sich nicht eindeutig, dass Art. 86 EGzZGB bundesrechtswidrig sei. Der Umstand, dass das Einführungsgesetz von 1969 vom Bundesrat genehmigt worden sei, spreche gegen eine Bundesrechtswidrigkeit. Unter den gegebenen Umständen sei der klare Wortlaut des kantonalen Rechts vorzuziehen und die klare, seit Jahrzehnten unangefochtene Praxis der ausserrhodischen Erbteilungskommissionen zu schützen.</w:t>
      </w:r>
    </w:p>
    <w:p>
      <w:r>
        <w:rPr>
          <w:b/>
        </w:rPr>
        <w:t>E. 2</w:t>
      </w:r>
    </w:p>
    <w:p>
      <w:r>
        <w:t>a) Das Zivilgesetzbuch wird vom Grundsatz der freien vertraglichen Erbteilung beherrscht (vgl. Art. 607 Abs. 2 und Art. 634 Abs. 1 ZGB ). Im Sinne einer Ausnahme sieht Art. 609 Abs. 1 ZGB die Mitwirkung der Behörde vor, wenn ein Gläubiger, der den Anspruch eines Erben auf eine angefallene Erbschaft erworben oder gepfändet hat oder der gegen diesen Erben Verlustscheine besitzt, es verlangt. Daneben bleibt es dem kantonalen Recht vorbehalten, für weitere Fälle eine amtliche Mitwirkung bei der Teilung vorzusehen ( Art. 609 Abs. 2 ZGB ). BGE 114 II 418 S. 420 b) Die amtliche Mitwirkung nach kantonalem Recht besteht im wesentlichen darin, das Teilungsverfahren zu leiten und den Entwurf eines Teilungsvertrages vorzulegen. Anlass für das behördliche Eingreifen kann etwa sein, dass ein Erbe einen entsprechenden Antrag stellt oder handlungsunfähig oder unbekannten Aufenthalts ist (wobei in den beiden letzten Fällen vormundschaftliche Massnahmen zu treffen sind). Die kantonalen Vorschriften betreffend die amtliche Mitwirkung bei der Erbteilung dürfen das das Zivilgesetzbuch beherrschende Prinzip der freien privaten Teilung nicht beeinträchtigen. Namentlich ist es unzulässig, die Verbindlichkeit eines von allen Erben angenommenen und unterzeichneten Teilungsvertrages von der Genehmigung durch die Teilungsbehörde abhängig zu machen (vgl. BGE 62 II 130 E. 1; BGE 60 II 22 ; BGE 51 II 488 ff., insbesondere 492; ESCHER, N. 1 ff. und 22 f. zu Art. 609 ZGB ; TUOR/PICENONI, N. 21 f. zu Art. 609 ZGB ; PIOTET, Erbrecht, in: Schweizerisches Privatrecht, Band IV/2, S. 852).</w:t>
      </w:r>
    </w:p>
    <w:p>
      <w:r>
        <w:rPr>
          <w:b/>
        </w:rPr>
        <w:t>E. 3</w:t>
      </w:r>
    </w:p>
    <w:p>
      <w:r>
        <w:t>a) Die allgemeine Genehmigungspflicht, wie sie das Einführungsgesetz zum Schweizerischen Zivilgesetzbuch von Appenzell A.Rh. vorsieht, ist mit Art. 634 Abs. 1 ZGB , wonach die Teilung mit dem Abschluss des Teilungsvertrages für die Erben verbindlich wird, nicht vereinbar. Dass der Bundesrat das kantonale Gesetz genehmigt hat, vermag daran nichts zu ändern. Ob die erwähnte Unvereinbarkeit dort erst recht gegeben ist, wo der Erblasser einen Willensvollstrecker eingesetzt hat, dem nach Gesetz ( Art. 518 Abs. 2 ZGB ) unter anderem die Durchführung der Teilung "nach den vom Erblasser getroffenen Anordnungen oder nach Vorschrift des Gesetzes" übertragen ist, mag dahingestellt bleiben (zu dieser Frage vgl. ESCHER, N. 23 zu Art. 609 ZGB ; TUOR/PICENONI, N. 23 zu Art. 609 ZGB ; PIOTET, a.a.O., S. 852). b) Umstände, die im Interesse eines oder mehrerer Erben die Mitwirkung der Behörde nötig gemacht hätten, sind im vorliegenden Fall nicht dargetan. Insbesondere wurden keine Zweifel an einer ordnungsgemässen Durchführung der Teilung geäussert. Nach dem Gesagten sind deshalb in Gutheissung der Nichtigkeitsbeschwerde der regierungsrätliche Beschluss vom 9. August 1988 und die durch diesen bestätigte Verpflichtung des Beschwerdeführers, der Erbteilungskommission den Teilungsakt zur Genehmigung einzureichen,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