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193</w:t>
      </w:r>
    </w:p>
    <w:p>
      <w:r>
        <w:t>Bundesgericht (BGE), 1988-01-01, FR</w:t>
      </w:r>
    </w:p>
    <w:p>
      <w:r>
        <w:rPr>
          <w:b/>
        </w:rPr>
        <w:t xml:space="preserve">Quelle: </w:t>
      </w:r>
      <w:r>
        <w:t>https://mcp.opencaselaw.ch/entscheid/bge_BGE_114_II_193</w:t>
      </w:r>
    </w:p>
    <w:p>
      <w:r>
        <w:t>FR: ATF 114 II 193</w:t>
      </w:r>
    </w:p>
    <w:p>
      <w:r>
        <w:t>IT: DTF 114 II 193</w:t>
      </w:r>
    </w:p>
    <w:p>
      <w:pPr>
        <w:pStyle w:val="Heading2"/>
      </w:pPr>
      <w:r>
        <w:t>Regeste</w:t>
      </w:r>
    </w:p>
    <w:p>
      <w:r>
        <w:t>Regeste Klage auf Aufhebung eines Entscheides über den Ausschluss eines Vereinsmitgliedes. 1. Art der Auslegung der Statuten einer juristischen Person des Privatrechts, soweit diese die grundlegende Vereinsordnung betreffen. Frage offengelassen (E. 5a). 2. Ein Gegenstand ist dann im Sinne von Art. 67 Abs. 3 ZGB gehörig angekündigt worden, wenn die Vereinsmitglieder nach Einsicht in die Tagesordnung und die Statuten leicht erkennen können, über welche Gegenstände zu beraten und gegebenenfalls ein Beschluss zu fassen sein wird (E. 5b). 3. Die Anwendung des aus dem Verfahrensrecht stammenden Prüfsteins des überspitzten Formalismus erlaubt es zu unterscheiden, welche der Verfahrensregeln, die sich ein Verein in seinen Statuten gegeben hat, wesentlich oder bedeutungslos sind und welche der möglichen Verletzungen dieser Regeln schwer oder leicht sind. Die Verletzung einer Verfahrensregel, die keinen Einfluss auf den von der Generalversammlung getroffenen Entscheid haben konnte, zieht nicht die Aufhebung dieses Entscheides in Anwendung von Art. 75 ZGB nach sich (E. 6).</w:t>
      </w:r>
    </w:p>
    <w:p>
      <w:r>
        <w:t>Regeste Action en annulation de la décision d'exclusion d'un membre d'une association. 1. Mode d'interprétation des statuts d'une personne morale de droit privé dans la mesure où ils édictent les règles sur la constitution de la personne morale. Question laissée indécise (consid. 5a). 2. Est porté à l'ordre du jour de façon suffisante, au sens de l'art. 67 al. 3 CC. un objet qui y figure de façon telle que les membres de l'association puissent déterminer aisément, sur le vu de l'ordre du jour et des statuts, sur quels points il y aura lieu de délibérer et le cas échéant de prendre une décision (consid. 5b). 3. En adoptant le critère du formalisme excessif, utilisé en matière de procédure judiciaire, on peut distinguer, parmi les règles de procédure que s'impose une association dans ses statuts, celles qui sont essentielles et celles qui sont sans importance et, parmi les violations possibles de ces règles, des violations graves et des violations légères. La violation d'une règle de procédure qui n'a pu avoir aucune influence sur la décision prise par l'assemblée générale n'entraîne pas l'annulation de cette décision par application de l'art. 75 CC (consid. 6).</w:t>
      </w:r>
    </w:p>
    <w:p>
      <w:r>
        <w:t>Regesto Azione diretta all'annullamento della decisione d'esclusione di un membro di un associazione. 1. Modo d'interpretare lo statuto di una persona giuridica di diritto privato nella misura in cui stabilisce le norme sulla costituzione della persona giuridica. Questione lasciata indecisa (consid. 5a). 2. È debitamente preannunciato ai sensi dell'art. 67 cpv. 3 CC un oggetto figurante in modo che i membri dell'associazione possano determinare agevolmente, in base all'ordine del giorno e dello statuto, su quali punti dovrà essere deliberato e, se del caso, essere presa una risoluzione (consid. 5b). 3. L'applicazione del criterio del formalismo eccessivo, utilizzato in materia di procedura giudiziaria, consente di distinguere, tra le norme di procedura che un'associazione s'è imposto nel suo statuto, quelle che sono essenziali e quelle prive d'importanza e, tra le possibili violazioni di tali norme, le violazioni gravi e quelle lievi. La violazione di una norma di procedura che non ha potuto avere alcuna influenza sulla decisione presa dall'assemblea generale non comporta l'annullamento di tale decisione a norma dell'art. 75 CC (consid. 6).</w:t>
      </w:r>
    </w:p>
    <w:p>
      <w:pPr>
        <w:pStyle w:val="Heading2"/>
      </w:pPr>
      <w:r>
        <w:t>Erwägungen</w:t>
      </w:r>
    </w:p>
    <w:p>
      <w:r>
        <w:rPr>
          <w:b/>
        </w:rPr>
        <w:t>E. 4</w:t>
      </w:r>
    </w:p>
    <w:p>
      <w:r>
        <w:t>La recourante soutient que la décision de l'assemblée générale est entachée de vices de forme, en ce sens notamment que le libellé de l'ordre du jour était insuffisant.</w:t>
      </w:r>
    </w:p>
    <w:p>
      <w:r>
        <w:rPr>
          <w:b/>
        </w:rPr>
        <w:t>E. 5</w:t>
      </w:r>
    </w:p>
    <w:p>
      <w:r>
        <w:t>En ce qui concerne l'insuffisance dans le libellé de l'ordre du jour, la recourante fait valoir que la Cour de justice a violé aussi bien l' art. 18 CO que l' art. 67 al. 3 CC . a) La violation de l' art. 18 CO n'est pas établie. Cette disposition légale édicte une règle générale permettant de déterminer la volonté concordante des parties à un contrat. Certes, le Tribunal fédéral a considéré que les statuts d'une personne morale de droit BGE 114 II 193 S. 197 privé (en l'occurrence, une société coopérative) doivent s'interpréter selon le principe de la confiance, comme des déclarations de volonté contractuelles ( ATF 87 II 95 consid. 3). Toutefois, il s'agissait dans cette espèce de la partie des statuts qui comportait un contrat d'assurance. On peut se demander si, quand il s'agit d'interpréter les statuts dans la mesure où ils édictent les règles sur la constitution de la personne morale (savoir la désignation de ses organes, la détermination des compétences respectives de chacun d'eux et les formes dans lesquelles sont prises leurs décisions), l'interprétation ne doit pas se faire selon le sens objectif plutôt que selon le principe de la confiance (sur la portée des statuts, cf. TH. BÜTLER, Der Persönlichkeitsschutz des Vereinsmitgliedes, thèse Bâle 1986, p. 33/34). Point n'est besoin cependant d'examiner la question en l'espèce. En effet, la cour cantonale n'a pas méconnu que le texte des statuts exige, à l'art. 12, que l'exclusion d'un associé soit "nommément" portée à l'ordre du jour pour que l'assemblée générale puisse en délibérer. Elle a constaté également, comme la recourante le relève elle-même, que le mot "exclusion" ne figurait pas dans l'ordre du jour, qui parlait seulement de "sanctions". Dès lors, il s'agit de savoir, non pas si l'ordre du jour de l'assemblée était conforme aux dispositions statutaires (ce qui n'est manifestement pas le cas), mais si le vice de forme constaté entraîne l'invalidité de la décision critiquée. L' art. 18 CO n'est d'aucun secours pour trancher cette question. b) Selon l' art. 67 al. 3 CC , les décisions de l'assemblée générale ne peuvent être prises en dehors de l'ordre du jour que si les statuts le permettent expressément: règle générale, il faut donc que les objets sur lesquels l'assemblée doit statuer soient portés à l'ordre du jour. Les textes allemand et italien de cette disposition légale précisent qu'ils doivent l'être dûment (gehörig angekündigt, debitamente preannunciati). La question de savoir s'il en est ainsi se tranche de cas en cas en fonction des circonstances concrètes: un objet est dûment porté à l'ordre du jour lorsqu'il est indiqué de telle manière que les membres ne soient pas surpris et puissent se préparer à en débattre; l'identité de la personne à exclure doit au moins être indiquée; il faut que les membres puissent se déterminer librement lors de l'assemblée et que, notamment, le membre visé puisse se faire entendre (cf. A. KELLER, Die Ausschliessung aus dem Verein, thèse Fribourg 1979, p. 194; B. BADERTSCHER, Der Ausschluss aus dem Verein nach schweizerischem Zivilgesetzbuch, BGE 114 II 193 S. 198 thèse Zurich 1980, p. 83/84; BÜTLER, op.cit., p. 39/40). On ne peut admettre que sont dûment portés à l'ordre du jour tous les objets qui peuvent être impliqués dans la formulation qu'il adopte ou que cette formulation n'exclut pas; toutefois, la direction n'a pas à exprimer ses propositions dans la convocation: il suffit que, sur le vu de l'ordre du jour et des statuts, les membres sachent sur quels points il y aura lieu de délibérer et, le cas échéant, de prendre une décision (cf. ATF 103 II 143 ss, concernant l'ordre du jour d'une société anonyme, art. 700 CO ). En l'espèce, l'ordre du jour prévoyait une décision à prendre sur des "sanctions" à infliger à X. S.A., nommément désignée, pour une infraction précise, savoir le "non-respect de l'engagement sur la transformation d'immeubles en PPE/PPA". Il n'était pas expressément parlé d'exclusion, mais la cour cantonale observe pertinemment que les membres de la SRG pouvaient déduire sans peine aucune des art. 12 et 39 des statuts que telle était la sanction proposée. En effet, il appartient au comité constitué en commission de surveillance de prononcer le blâme ou/et l'amende (art. 39), tandis que l'assemblée générale est seule compétente pour prononcer l'exclusion (art. 12). Lorsque cette sanction est envisagée, le comité doit formuler un préavis (art. 39). La nature de la sanction proposée ne pouvait donc faire l'objet d'aucun doute, ni d'aucune surprise. La recourante prétend que l'ordre du jour était insuffisant parce que, jusqu'à la réunion de l'assemblée générale, les membres ignoraient quel était le préavis du comité. Ce moyen est infondé. Il ne ressort nullement des statuts que l'assemblée générale est liée par ledit préavis. Comme on l'a vu, tel qu'il était formulé, l'ordre du jour indiquait suffisamment que la sanction envisagée et proposée était l'exclusion, et non un blâme ou une amende. Le préavis du comité pouvait avoir pour objet, en plus de la sanction, les modalités dont elle serait assortie. L'assemblée générale pouvait suivre ou non le comité tant en ce qui concerne la nature de la sanction que ses modalités. Cela relevait de la délibération et du vote, dont l'objet était clairement indiqué par l'ordre du jour, lors même que l'on ignorait encore le détail des propositions du comité, comme les avis qui seraient exprimés par les membres au cours du débat: toutes ces propositions devaient précisément faire l'objet des délibérations et de la décision finale sur ce point de l'ordre du jour. La violation de l' art. 67 al. 3 CC n'est donc manifestement pas établie. BGE 114 II 193 S. 199</w:t>
      </w:r>
    </w:p>
    <w:p>
      <w:r>
        <w:rPr>
          <w:b/>
        </w:rPr>
        <w:t>E. 6</w:t>
      </w:r>
    </w:p>
    <w:p>
      <w:r>
        <w:t>En exigeant que l'ordre du jour indique "nommément" l'exclusion envisagée, l'art. 12 des statuts pose une exigence de forme plus rigoureuse que celle qui découle de l' art. 67 al. 3 CC . Or, cette rigueur accrue n'a pas été respectée, puisque le mot "exclusion" ne figurait pas à l'ordre du jour. Il reste donc à examiner si cette violation de la règle statutaire entraîne la nullité de la décision prise par l'assemblée générale. La règle statutaire ici étudiée détermine la forme de la procédure que la SRG s'est imposée pour prendre une décision dont la gravité pour le membre visé ne saurait être méconnue. Comme en matière de procédure judiciaire, un certain formalisme est nécessaire dans la mesure où il permet le déroulement régulier des opérations, garantit la sécurité du droit et met le membre visé à l'abri des surprises causées par l'ignorance de ce qu'on lui reproche, afin d'assurer la loyauté du débat (cf. ATF 113 Ia 87 consid. 3a et les arrêts cités). Toutefois, il y a lieu d'adopter le principe de la proportionnalité pour déterminer si l'application des règles de procédure n'aboutit pas en réalité à entraver l'application du droit ( ATF 113 Ia 87 consid. 1 et l'arrêt cité). Aussi bien peut-on distinguer, parmi les règles de procédure que s'impose une association dans ses statuts, celles qui sont essentielles et celles qui sont sans importance, et, parmi les violations possibles de ces règles de procédure, des violations graves, d'une part, et des violations légères, d'autre part. On déterminera l'importance des règles violées selon que la violation peut avoir ou non une influence sur la décision (KELLER, op.cit., p. 184 ss, 186). En l'espèce, il est évident que l'absence du mot "exclusion" dans l'ordre du jour n'a pu avoir aucune influence sur la décision prise par l'assemblée générale. Comme on l'a vu, l'objet à débattre, savoir l'exclusion, résultait du seul fait que l'assemblée générale avait la compétence exclusive de prononcer cette sanction, sur laquelle le comité ne pouvait formuler qu'un préavis. Le procès-verbal de l'assemblée ne fait apparaître aucune hésitation de l'un des membres, ni des représentants de la recourante, sur la nature de la sanction à propos de laquelle il y avait à délibérer et à statuer. La personne visée, savoir la recourante, et le grief articulé étaient expressément indiqués dans l'ordre du jour. L'absence du mot "exclusion" dans cette liste était donc dénuée d'importance: cette violation minime et purement formelle d'une règle de procédure que l'intimée s'était imposée ne saurait conduire à l'annulation, par application de l' art. 75 CC , de la décision prise.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