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144</w:t>
      </w:r>
    </w:p>
    <w:p>
      <w:r>
        <w:t>Bundesgericht (BGE), 1988-01-01, DE</w:t>
      </w:r>
    </w:p>
    <w:p>
      <w:r>
        <w:rPr>
          <w:b/>
        </w:rPr>
        <w:t xml:space="preserve">Quelle: </w:t>
      </w:r>
      <w:r>
        <w:t>https://mcp.opencaselaw.ch/entscheid/bge_BGE_114_II_144</w:t>
      </w:r>
    </w:p>
    <w:p>
      <w:r>
        <w:t>FR: ATF 114 II 144</w:t>
      </w:r>
    </w:p>
    <w:p>
      <w:r>
        <w:t>IT: DTF 114 II 144</w:t>
      </w:r>
    </w:p>
    <w:p>
      <w:pPr>
        <w:pStyle w:val="Heading2"/>
      </w:pPr>
      <w:r>
        <w:t>Regeste</w:t>
      </w:r>
    </w:p>
    <w:p>
      <w:r>
        <w:t>Regeste Versorgerschaden und Genugtuung beim Unfalltod eines Verlobten. 1. Art. 45 Abs. 3 OR; Versorgereigenschaft von Verlobten und Konkubinatspartnern (E. 2a und b). 2. Art. 47 OR; Genugtuungsanspruch des Verlobten. Frage offengelassen, ob auch ein Konkubinatsverhältnis Grundlage eines Genugtuungsanspruchs bilden kann (E. 3a). 3. Bemessung der Genugtuungssumme für Verlobte (E. 3b und c). 4. Art. 157 und Art. 159 Abs. 6 OG; Regelung der Kosten- und Entschädigungsfolgen des kantonalen Verfahrens durch das Bundesgericht. Ist die Änderung in der Sache gering, so kann das Bundesgericht auf eine Neufestsetzung der Kosten- und Entschädigungsfolgen verzichten (E. 4).</w:t>
      </w:r>
    </w:p>
    <w:p>
      <w:r>
        <w:t>Regeste Perte de soutien et tort moral en cas de mort d'un fiancé. 1. Art. 45 al. 3 CO; qualité de soutien de fiancés et de concubins (consid. 2a et b). 2. Art. 47 CO; droit du fiancé à une indemnité pour tort moral. Un rapport de concubinage peut-il également fonder un tel droit? Question laissée indécise (consid. 3a). 3. Fixation de l'indemnité pour tort moral allouée à des fiancés (consid. 3b et c). 4. Art. 157 et 159 al. 6 OJ; fixation des frais et dépens de l'instance cantonale par le Tribunal fédéral. Lorsque la modification sur le fond est minime, le Tribunal fédéral peut renoncer à une nouvelle répartition des frais et dépens (consid. 4).</w:t>
      </w:r>
    </w:p>
    <w:p>
      <w:r>
        <w:t>Regesto Perdita di sostegno e riparazione in caso di morte di un fidanzato. 1. Art. 45 cpv. 3 CO; fidanzati e concubini qualità di sostegno (consid. 2a, b). 2. Art. 47 CO; diritto a riparazione spettante al fidanzato. È lasciata indecisa la questione se un diritto a riparazione possa essere fondato su di un rapporto di concubinato (consid. 3a). 3. Determinazione dell'ammontare della riparazione accordata a fidanzati (consid. 3b, c). 4. Art. 157 e 159 cpv. 6 OG; determinazione da parte del Tribunale federale delle spese e ripetibili relative alla procedura cantonale. In caso di modifica minima nel merito, il Tribunale federale può rinunciare a una nuova ripartizione delle spese e ripetibili (consid. 4).</w:t>
      </w:r>
    </w:p>
    <w:p>
      <w:pPr>
        <w:pStyle w:val="Heading2"/>
      </w:pPr>
      <w:r>
        <w:t>Erwägungen</w:t>
      </w:r>
    </w:p>
    <w:p>
      <w:r>
        <w:rPr>
          <w:b/>
        </w:rPr>
        <w:t>E. 2</w:t>
      </w:r>
    </w:p>
    <w:p>
      <w:r>
        <w:t>a) Nach der Rechtsprechung des Bundesgerichts, die sich insbesondere auf den Wortlaut von Art. 45 Abs. 3 OR abstützt, ist eine gesetzliche Unterstützungspflicht nicht Voraussetzung der Versorgereigenschaft. Entscheidend ist vielmehr, dass tatsächlich Versorgungsleistungen erbracht worden sind und mit grosser Wahrscheinlichkeit in Zukunft erbracht worden wären ( BGE 112 II 92 mit Hinweisen, BGE 82 II 39 , BGE 54 II 17 E. 2, BGE 53 II 52 E. 3 mit Hinweisen). Verlobten wurde die Versorgereigenschaft dann zuerkannt, wenn eine spätere Heirat als sehr wahrscheinlich erschien ( BGE 66 II 219 E. 3 mit Hinweisen). Nach Auffassung des Obergerichts waren Doris V. und André M. zur Zeit des Unfalles noch nicht verlobt. Es führt dazu aus, das Verlöbnis sei zwar an keine Form gebunden und die beiden hätten die Absicht bekundet, sich zu heiraten; aus der Aussage von André M. an der Parteibefragung, sie hätten sich im Oktober 1984 verloben wollen, ergebe sich indessen, dass sie sich selbst noch nicht als verlobt betrachtet hätten und sich in diesem Sinne noch nicht als gebunden fühlten. Der Frage komme aber keine entscheidende Bedeutung zu, da es grundsätzlich unerheblich sei, ob der Kläger mit der Verstorbenen verlobt gewesen sei oder in einem besonders engen Freundschaftsverhältnis (Konkubinatsverhältnis) gestanden habe. Wesentlich sei, ob die Beziehung eheähnlichen und dauerhaften Charakter aufgewiesen habe. Der Frage, ob Doris V. und André M. sich verlobt hatten, ist in Anbetracht der zitierten Rechtsprechung zur Versorgereigenschaft von Verlobten entgegen der Meinung der Vorinstanz nicht von vornherein jede Erheblichkeit abzusprechen. Sie muss deshalb geprüft werden. Ein Verlöbnis setzt gemäss Art. 90 Abs. 1 ZGB nicht eine formelle Verlobungsfeier, sondern lediglich ein formloses gegenseitiges Eheversprechen voraus ( BGE 83 II 489 ). Nach den Feststellungen des Obergerichts hatten Doris V. und André M. beabsichtigt, sich im Oktober 1984 zu verloben, das heisst offensichtlich, eine offizielle Verlobungsfeier zu veranstalten, und später zu heiraten. Das Kantonsgericht hat präzisiert, die Heirat hätte im Frühjahr 1985 stattfinden sollen. Daraus ergibt sich aber, dass sie sich gegenseitig die Ehe versprochen hatten und damit ein Verlöbnis im Sinne des Gesetzes eingegangen waren. Mit dem gegenteiligen Schluss verkennt das Obergericht, dass sich die Aussage von André M. auf die Verlobungsfeier bezog. Die Versorgereigenschaft BGE 114 II 144 S. 147 der Verstorbenen ergibt sich demnach bereits aus der Tatsache des Verlöbnisses und der hohen Wahrscheinlichkeit einer späteren Heirat. b) Dem angefochtenen Urteil wäre indessen auch dann zuzustimmen, wenn nicht von einem Verlöbnis auszugehen wäre. Die Frage, ob Konkubinatspartner grundsätzlich einen Anspruch auf Ersatz des Versorgerschadens geltend machen können, wird in der neueren Literatur überwiegend bejaht (STARK, ZSR 105/1986, I, S. 374; ALFRED KELLER, Haftpflicht im Privatrecht, Bd. II, S. 74; ZEN-RUFFINEN, La perte de soutien, S. 46 ff.; BREHM, N. 150-153 zu Art. 45 OR ; MERZ, SPR, Bd. VI/1, S. 206; GIRSBERGER, in: Die eheähnliche Gemeinschaft (Konkubinat) im schweizerischen Recht, S. 173 ff.; ENGEL, Traité des obligations, S. 351; STAUFFER/SCHAETZLE, Barwerttafeln, 3. A., S. 69; J.-F. Egli, in: Mélanges André Grisel, S. 340; SCHNYDER, Der Körperschaden, Strassenverkehrsrechts-Tagung 1982, S. 17 f.; DROIN, Sem.jud. 1979, S. 163 f.; anderer Ansicht ist GROSSEN, Le ménage de fait devant la loi suisse, in: Travaux de l'Association Henri Capitant, Bd. XI (1957), Supplément, S. 13 ff.). Wie bereits dargelegt, ist gemäss der Praxis des Bundesgerichts die Versorgereigenschaft dann gegeben, wenn tatsächlich Versorgungsleistungen erbracht worden sind und mit grosser Wahrscheinlichkeit in Zukunft erbracht worden wären. Das Bestehen einer gesetzlichen Unterstützungspflicht ist dagegen nicht erforderlich. Dementsprechend steht der Umstand, dass die unterstützte Person Konkubinatspartner des oder der Verstorbenen war, ihrem Anspruch auf Ersatz des Versorgerschadens grundsätzlich nicht entgegen. Das Obergericht fordert mit Hinweis auf MERZ (a.a.O., S. 206) als weitere Voraussetzung einen eheähnlichen und dauerhaften Charakter des Konkubinatsverhältnisses. Gleiche oder ähnliche Einschränkungen werden von allen zitierten Autoren postuliert. Damit sollen einerseits Konkubinatsverhältnisse ausgeschlossen werden, bei welchen es als nicht wahrscheinlich erscheint, dass sich die Konkubinatspartner auch in Zukunft unterstützt hätten. Andererseits soll ein Konkubinatspartner dann keinen Anspruch auf Entschädigung für den Versorgerschaden erheben können, wenn das Verhältnis rechtswidrig war oder die Versorgungsleistungen aus unmoralischen Gründen erfolgten (BREHM, N. 151 ff. zu Art. 45 OR ; GIRSBERGER, a.a.O., S. 174 ff.). Ob letztere Einschränkung gerechtfertigt ist, braucht hier nicht entschieden zu werden, da ein derartiger Einwand von der Beklagten BGE 114 II 144 S. 148 nicht erhoben wird. Sie macht dagegen geltend, die tatsächlichen Feststellungen der Vorinstanz liessen den Schluss nicht zu, die beiden Konkubinatspartner kämen als gegenseitige Versorger in Betracht. Die Beziehung sei lediglich während zehn Monaten eheähnlich gewesen. Daraus folgert die Beklagte mit Hinweis auf BGE 109 II 188 , die Lebensgemeinschaft sei nicht derart stabil und eng gewesen, dass sie wirtschaftlich ähnliche Vorteile wie eine Ehe habe bieten können. Der Vergleich mit der Rechtsprechung zu den Voraussetzungen, unter denen einem geschiedenen Konkubinatspartner der Anspruch auf die Scheidungsrente wegen Rechtsmissbrauchs abgesprochen werden kann, ist indes hier nicht angebracht. In jenen Fällen ist massgebend, ob die Lebensgemeinschaft in dem Sinne eheähnlich sei, dass der Konkubinatspartner des Rentenberechtigten bereit wäre, diesem Beistand und Unterstützung zu gewähren, wie es für einen Ehegatten gestützt auf Art. 159 Abs. 3 ZGB gesetzliche Pflicht ist ( BGE 109 II 190 /191). Die Frage der Versorgereigenschaft von Konkubinatspartnern ist dagegen nach anderen rechtlichen Grundlagen zu beurteilen. Der Vergleich mit der ehelichen Treue- und Beistandspflicht tritt hier in den Hintergrund; ausschlaggebend ist vielmehr die rein tatsächliche Frage, ob sich die Konkubinatspartner während der Dauer der Lebensgemeinschaft unterstützt haben und auch in Zukunft mit grosser Wahrscheinlichkeit unterstützt hätten. Ein schematisches Abstellen auf eine bestimmte Mindestdauer des Konkubinatsverhältnisses fällt deshalb ausser Betracht. Im übrigen waren es vor allem für die Art des Prozesses charakteristische Beweisschwierigkeiten, welche zur Tatsachenvermutung von BGE 109 II 188 geführt haben. Auch aus diesem Grund rechtfertigt sich eine Übernahme dieser Tatsachenvermutung für Verfahren wie das vorliegende nicht. Nach Auffassung des Obergerichts hatte das Konkubinatsverhältnis zwischen Doris V. und André M. eheähnlichen und dauerhaften Charakter. Es stellt dazu fest, die beiden hätten nach glaubwürdiger Sachdarstellung von André M. seit 1981 in einer sehr engen Beziehung gestanden und André M. habe regelmässig bei Doris V. übernachtet, bis sie im Oktober 1983 die gemeinsame Wohnung in C. bezogen. Der Bezug der Wohnung nach mehrjähriger Bekanntschaft sei ein starkes Indiz dafür, dass die Beziehung nach der Meinung der Partner auf Dauer angelegt war und dass sie tatsächlich beabsichtigten, sich zu verloben und später zu heiraten. Es bestünden keinerlei Anhaltspunkte dafür, dass sich an BGE 114 II 144 S. 149 ihren Absichten in der Zeit bis zum Tode von Doris V. irgend etwas geändert hätte. Diese Tatsachenfeststellungen sind für das Bundesgericht verbindlich ( Art. 63 Abs. 2 OG ). Die rechtliche Folgerung der Vorinstanz, die Konkubinatspartner seien gegenseitig als Versorger zu betrachten, verstösst unter diesen Umständen nicht gegen Bundesrecht.</w:t>
      </w:r>
    </w:p>
    <w:p>
      <w:r>
        <w:rPr>
          <w:b/>
        </w:rPr>
        <w:t>E. 3</w:t>
      </w:r>
    </w:p>
    <w:p>
      <w:r>
        <w:t>Mit der Anschlussberufung beantragt die Beklagte, die dem Kläger André M. zugesprochene Genugtuungssumme von Fr. 25'000.-- sei auf Fr. 15'000.-- herabzusetzen. Die Beklagte wirft dem Obergericht vor, die von der Rechtsprechung erarbeiteten Bemessungskriterien zumindest teilweise falsch angewendet und damit das ihr in Art. 47 OR in Verbindung mit Art. 4 ZGB zugestandene Ermessen verletzt zu haben. a) Die Vorinstanz hat sich nicht zur Frage geäussert, ob André M. grundsätzlich einen Genugtuungsanspruch wegen des Todes von Doris V. geltend machen könne, da dies im kantonalen Berufungsverfahren nicht umstritten war. Im Verfahren vor Bundesgericht wird der Genugtuungsanspruch von M. von der Beklagten grundsätzlich und in der Höhe von Fr. 15'000.-- anerkannt. Obschon die Parteien somit davon ausgehen, es bestehe eine rechtliche Grundlage für den Genugtuungsanspruch, ist diese Rechtsfrage dennoch von Amtes wegen zu prüfen ( BGE 111 II 369 mit Hinweisen). Wie bereits dargelegt, waren André M. und Doris V. im Zeitpunkt ihres Todes verlobt. Verlobte werden aber nach der Rechtsprechung des Bundesgerichts und der Lehre als Angehörige im Sinne von Art. 47 OR betrachtet ( BGE 66 II 221 E. 4, BGE 57 II 57 ; BREHM, N. 159 zu Art. 47 OR ; KELLER, a.a.O., S. 131; HÜTTE, Die Genugtuung, 2. A. 1986, I/45, Ziff. 2.2.6.; derselbe, Genugtuungsrecht im Wandel, SJZ 84 (1988), S. 175). Die in der Literatur umstrittene Frage, ob auch ein Konkubinatsverhältnis Grundlage eines Genugtuungsanspruchs bilden könne, braucht deshalb nicht entschieden zu werden (vgl. dazu BREHM, N. 160 zu Art. 47 OR ; KELLER, a.a.O., S. 131/2; HÜTTE, Genugtuungsrecht im Wandel, SJZ 84 (1988) S. 175; TERCIER, Die Genugtuung, Strassenverkehrsrechts-Tagung 1988, S. 20). b) Nach Auffassung der Vorinstanz sind analog der neuesten Rechtsprechung zu den Fällen mit Körperverletzungen, die schwerwiegende Dauerschäden zur Folge haben, auch die Genugtuungssummen wegen des Todes eines Angehörigen generell höher anzusetzen als früher. Das Bundesgericht hat eine derartige allgemeine BGE 114 II 144 S. 150 Erhöhung mit der Begründung abgelehnt, diese Rechtsprechung lasse sich, von der Anpassung an die Teuerung abgesehen, nicht auf den Unfalltod eines Angehörigen übertragen, der mit der Zeit doch leichter überwunden werden könne als eine lebenslängliche schwere Invalidität ( BGE 113 II 339 E. 6). Obschon der Vorinstanz insoweit nicht beizustimmen ist, kommt dem keine entscheidende Bedeutung zu, da die weiteren angeführten Gründe ihren Entscheid auch allein zu tragen vermögen. Sie hat mit Recht insbesondere das schwere Verschulden von H. und das Fehlen eines Mitverschuldens auf seiten der Getöteten sowie die Intensität der Beziehung zwischen den beiden Verlobten berücksichtigt. Sodann trifft entgegen der Behauptung der Beklagten nicht zu, dass diese Beziehung nicht auf Dauer ausgerichtet und völlig unverbindlich gewesen sei. Das Obergericht hat gegenteils und für das Bundesgericht verbindlich festgestellt, die Beziehung sei auf Dauer angelegt gewesen. Die Beklagte macht zudem geltend, bei der Bemessung der Genugtuung sei eine Abstufung nach dem Grad der familiären Beziehung vorzunehmen; in der Literatur werde die Meinung vertreten, dass bei Verlobten die Genugtuung kaum mehr als die Hälfte der bei Ehegatten geschuldeten Summe erreiche. Richtig ist, dass der Grad der Verwandtschaft bei der Bemessung der Genugtuung zu berücksichtigen ist. Gerade im Fall von Verlobten besteht jedoch in der Literatur nur insoweit Übereinstimmung, als die Meinung vertreten wird, die Genugtuung solle niedriger bemessen werden als diejenige für einen Ehegatten. Dagegen ist umstritten, ob sie niedriger oder höher sein soll als die Genugtuung der Eltern beim Tod eines Kindes. Während HÜTTE sie je nach Dauer und Intensität der Beziehung auch höher ansetzen will als die der Eltern (Die Genugtuung, 2. A. 1986, I/45, Ziff. 2.2.6.; SJZ 84 (1988), S. 175), soll die Genugtuung nach BREHM niedriger sein als die einer Mutter für den Verlust ihres einzigen Kindes (N. 160 zu Art. 47 OR ). Schliesslich ergibt sich aus der Aufstellung von KELLER, auf die sich die Beklagte beruft, dass dieser Autor die Genugtuung für Verlobte bei derjenigen von Kindern beim Tod von Vater oder Mutter einstufen will (a.a.O., S. 132). Auch die wenigen Urteile, welche Genugtuungen für Verlobte betrafen, zeigen kein einheitliches Bild. Das Kantonsgericht von Graubünden hat in einem Urteil aus dem Jahre 1978 festgehalten, die Genugtuungssumme sei für eine Braut tiefer anzusetzen als jene für eine Frau oder Mutter, die ihren Ehemann oder ihr einziges Kind BGE 114 II 144 S. 151 verliere, und es hat der Verlobten eine Genugtuung von Fr. 10'000.-- zuerkannt (PKG 1978 Nr. 3 S. 23). Sodann waren im Fall von BGE 57 II 54 vom kantonalen Richter dem Vater des verstorbenen Sohnes Fr. 1'000.-- und der Verlobten Fr. 500.-- Genugtuung zugesprochen worden. Das Bundesgericht hatte dort die Höhe der Genugtuungssummen jedoch nicht zu überprüfen. Schliesslich bezog sich BGE 66 II 221 E. 4 auf einen Sachverhalt, der mit dem vorliegenden insoweit vergleichbar ist, als die Beziehung zwischen den Verlobten mehrere Jahre gedauert hatte und diese beabsichtigten, wenige Monate nach dem Unfall zu heiraten. Das Bundesgericht betrachtete damals Genugtuungen von je Fr. 2'500.-- für die Eltern und von Fr. 3'000.-- für die Verlobte als angemessen. Alle diese Literaturmeinungen und Urteile zeigen, dass die Abstufung nach dem Verwandtschaftsgrad im Falle von Verlobten nur einen unsicheren Anhaltspunkt dafür bieten kann, in welchem Rahmen eine Genugtuung als angemessen erscheint. Jedenfalls liegt im Entscheid der Vorinstanz, die Genugtuung für den Verlobten gleich hoch wie diejenige für die Eltern zu bemessen, keine Ermessensverletzung. Das lässt sich in Anbetracht der Umstände des Falles, insbesondere wegen der Intensität der Gefühlsbeziehungen zwischen den Verlobten und der grossen Wahrscheinlichkeit einer späteren Heirat durchaus rechtfertigen. Dafür spricht aber auch der Vergleich mit BGE 66 II 221 E. 4, wo bei einem ähnlichen Sachverhalt der Verlobten eine höhere Genugtuung zugesprochen wurde als den Eltern. Mit dem weiteren Einwand der Beklagten, die den Eltern zuerkannten Genugtuungssummen lägen an der obersten noch vertretbaren Grenze, lässt sich ebenfalls keine Ermessensverletzung darlegen. Vorab ist festzuhalten, dass die Beklagte das Urteil der Vorinstanz in diesem Punkt nicht angefochten hat. Es ist daher lediglich zu prüfen, ob die Genugtuungssummen für die Eltern dermassen aus dem üblichen Rahmen fallen, dass sie als Anhaltspunkt für die Bemessung der Genugtuung an den Verlobten ausser Betracht bleiben müssen. Das trifft indes nicht zu, wie sich aus neueren Urteilen kantonaler Gerichte ergibt, mit welchen den Eltern Genugtuungssummen zwischen Fr. 20'000.-- und Fr. 35'000.-- zugesprochen wurden (JdT 1984 I Nr. 46 S. 441, 1985 I Nr. 46 S. 429; GVP 1983 Nr. 35 S. 82; RBOG 1987 Nr. 5 S. 61). c) Das Obergericht hat somit die nach der Rechtsprechung massgebenden Kriterien entgegen der Rüge der Beklagten nicht BGE 114 II 144 S. 152 falsch angewendet. Beizustimmen ist der Vorinstanz aber auch insoweit, als sie das jugendliche Alter von M., der zur Zeit des Todes seiner Verlobten fünfundzwanzig Jahre alt war, und die verhältnismässige kurze Dauer des engen Zusammenlebens der Verlobten für die obere Begrenzung der Genugtuungssumme berücksichtigt hat. In Würdigung all dieser Umstände erscheint die vom Obergericht zugesprochene Genugtuung von Fr. 25'000.-- als angemessen. Die Anschlussberufung ist demnach in diesem Punkt unbegründet.</w:t>
      </w:r>
    </w:p>
    <w:p>
      <w:r>
        <w:rPr>
          <w:b/>
        </w:rPr>
        <w:t>E. 4</w:t>
      </w:r>
    </w:p>
    <w:p>
      <w:r>
        <w:t>Die Kläger beantragen, die Kosten beider kantonalen Verfahren der Beklagten aufzuerlegen und diese zu verpflichten, ihnen eine Parteientschädigung von Fr. 14'683.-- für beide Prozesse zu bezahlen. Gemäss Art. 157 und Art. 159 Abs. 6 OG kann das Bundesgericht die Kosten des kantonalen Verfahrens und die Parteientschädigungen anders festsetzen, falls es das angefochtene Urteil in der Sache abändert. Nach dem Sinn dieser Vorschriften kann eine Neuverteilung der Kosten dann vorgenommen werden, wenn und soweit die Änderungen in der Sache dies rechtfertigen. Das bedeutet, dass das Bundesgericht lediglich zu beurteilen hat, welche Auswirkungen sich aus der von ihm vorgenommenen Korrektur in der Sache selbst für die Kostenfrage ergeben können. Eine selbständige, davon losgelöste Überprüfung der auf kantonalem Recht beruhenden Kostenregelung ist dagegen im Berufungsverfahren ausgeschlossen ( BGE 96 II 63 mit Hinweisen). Im vorliegenden Fall ist die Änderung in der Sache mit Fr. 2'500.-- so gering, dass es sich nicht rechtfertigt, die Kosten des kantonalen Verfahrens und die Parteientschädigungen neu festzusetzen. Das angefochtene Urteil ist deshalb im Kostenpunkt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