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98</w:t>
      </w:r>
    </w:p>
    <w:p>
      <w:r>
        <w:t>Bundesgericht (BGE), 1988-01-01, DE</w:t>
      </w:r>
    </w:p>
    <w:p>
      <w:r>
        <w:rPr>
          <w:b/>
        </w:rPr>
        <w:t xml:space="preserve">Quelle: </w:t>
      </w:r>
      <w:r>
        <w:t>https://mcp.opencaselaw.ch/entscheid/bge_BGE_114_III_98</w:t>
      </w:r>
    </w:p>
    <w:p>
      <w:r>
        <w:t>FR: ATF 114 III 98</w:t>
      </w:r>
    </w:p>
    <w:p>
      <w:r>
        <w:t>IT: DTF 114 III 98</w:t>
      </w:r>
    </w:p>
    <w:p>
      <w:pPr>
        <w:pStyle w:val="Heading2"/>
      </w:pPr>
      <w:r>
        <w:t>Regeste</w:t>
      </w:r>
    </w:p>
    <w:p>
      <w:r>
        <w:t>Regeste Art. 132 Abs. 1 SchKG; Bestimmung des Verwertungsverfahrens. Wird die kantonale Aufsichtsbehörde ersucht, das Verwertungsverfahren nach Art. 132 SchKG zu bestimmen, so hat sie sich auf diese Frage zu beschränken. Über die Verteilung eines allfälligen Erlöses und die Berücksichtigung bestimmter Gläubiger und Pfändungsgruppen hat sie nichts zu bestimmen.</w:t>
      </w:r>
    </w:p>
    <w:p>
      <w:r>
        <w:t>Regeste Art. 132 al. 1 LP; fixation du mode de réalisation. Lorsque l'autorité cantonale de surveillance est requise de fixer le mode de réalisation conformément à l'art. 132 LP, elle doit se limiter à cette question. Elle n'a rien à fixer quant à la distribution d'un produit éventuel, ni quant à la prise en considération de créanciers et de séries de saisie.</w:t>
      </w:r>
    </w:p>
    <w:p>
      <w:r>
        <w:t>Regesto Art. 132 cpv. 1 LEF; determinazione del modo di realizzazione. Ove l'autorità cantonale di vigilanza sia richiesta di determinare il modo di realizzazione conformemente all'art. 132 LEF, essa deve limitarsi a tale questione. Essa non deve decidere circa la ripartizione di un eventuale ricavo, né sulla maniera di considerare determinati creditori e gruppi partecipanti ad uno stesso pignoramento.</w:t>
      </w:r>
    </w:p>
    <w:p>
      <w:pPr>
        <w:pStyle w:val="Heading2"/>
      </w:pPr>
      <w:r>
        <w:t>Erwägungen</w:t>
      </w:r>
    </w:p>
    <w:p>
      <w:r>
        <w:rPr>
          <w:b/>
        </w:rPr>
        <w:t>E. 1</w:t>
      </w:r>
    </w:p>
    <w:p>
      <w:r>
        <w:t>Gegenstand der Beschwerde an die kantonale Aufsichtsbehörde bildete ein Entscheid der unteren Aufsichtsbehörde über die Bestimmung des Verwertungsverfahrens nach Art. 132 SchKG . a) Die untere Aufsichtsbehörde hat zu Recht nicht entschieden, ob die früheren Pfändungsgruppen Nr. 1183 und Nr. 1190 bei der Verwertung des fraglichen Erbanteils zu berücksichtigen seien oder nicht. Hierzu wäre sie offensichtlich unzuständig gewesen. Sie hatte entsprechend dem Ersuchen des Betreibungsamtes nur zu bestimmen, welches Verwertungsverfahren einzuschlagen sei, hingegen nicht, wie ein allfälliger Erlös zu verteilen sei. Dementsprechend war aber auch die kantonale Aufsichtsbehörde nur dazu berufen, das Verwertungsverfahren zu bestimmen. Die weitergehenden Anträge der Rekurrentin standen ausserhalb des Verfahrens und waren daher unzulässig. b) Der Entscheid der kantonalen Aufsichtsbehörde über die Beteiligung der früheren Pfändungsgruppen verkennt nicht nur die Tragweite des vorliegenden Beschwerdeverfahrens. Er ist auch inhaltlich unrichtig. Die Anweisung, das Verwertungsverfahren bezüglich des gepfändeten Erbanteils für alle drei Pfändungsgruppen gleichberechtigt durchzuführen, läuft für die früheren Pfändungsgruppen Nr. 1183 und 1190 nämlich auf eine automatische Anschlusspfändung hinaus. Dies ist im Gesetz jedoch nirgends vorgesehen. c) Aus dem Hinweis auf die Lehre (AMONN, Grundriss des Schuldbetreibungs- und Konkursrechts, N 19 zu § 25; vgl. ferner FRITZSCHE/WALDER, Schuldbetreibung und Konkurs nach schweizerischem Recht, Anm. 17 zu § 32), wonach eine Nachpfändung auch dann angezeigt sei, wenn das Pfändungsgut der Pfändung widerrechtlich entzogen worden sei, vermag die kantonale Aufsichtsbehörde nichts für ihren Standpunkt abzuleiten. Eine Nachpfändung setzt ein aktives Handeln des Betreibungsamtes voraus. BGE 114 III 98 S. 101 Nur wenn das Betreibungsamt tatsächlich eine Nachpfändung vornimmt, können die Gläubiger der entsprechenden Pfändungsgruppen vom nachgepfändeten Pfändungssubstrat profitieren. Hieran mangelt es im vorliegenden Fall. Art. 110 Abs. 1 SchKG lässt ergänzende Pfändungen von Amtes wegen zudem nur während oder unmittelbar nach Ablauf der - hier längst verstrichenen - Anschlussfrist zu ( BGE 83 III 134 unten). Eine Nachpfändung von Amtes wegen im Sinne von Art. 145 SchKG kann anderseits bloss erfolgen, wenn der Erlös den Betrag der Forderungen nicht deckt, setzt also voraus, dass die Verwertung der gepfändeten Sachen bereits stattgefunden hat ( BGE 83 III 135 ; BGE 70 III 46 ; 63 III 145 ). Dies trifft hier offensichtlich nicht zu. d) Im übrigen behält Art. 145 SchKG ausdrücklich die Rechte der inzwischen erfolgten Pfändungen vor. Die Auffassung der kantonalen Aufsichtsbehörde, wonach der Erlös allen drei Pfändungsgruppen gleichberechtigt zugute kommen solle, ist auch unter diesem Gesichtspunkt unzutreffend.</w:t>
      </w:r>
    </w:p>
    <w:p>
      <w:r>
        <w:rPr>
          <w:b/>
        </w:rPr>
        <w:t>E. 2</w:t>
      </w:r>
    </w:p>
    <w:p>
      <w:r>
        <w:t>Die Rekurrentin beantragt weiter, es sei festzustellen, dass die übrigen Gläubiger der Pfändungsgruppe Nr. 1258 am allfälligen Ergebnis aus der Liquidation des Erbteils nicht teilhätten. Auch dieser Antrag geht über den Gegenstand des vorliegenden Beschwerdeverfahrens hinaus. Er ist zudem unbegründet. Die Rekurrentin beruft sich zu Unrecht auf FRITZSCHE/WALDER (N 20 zu § 32): Die betreffende Literaturstelle bezieht sich nicht auf den vorliegenden Fall, sondern auf den Kollokationsprozess. Die von der Rekurrentin zitierten bundesgerichtlichen Entscheide belegen ferner, dass eine allfällige Abänderung oder Aufhebung einer betreibungsrechtlichen Massnahme auf dem Beschwerdeweg gerade für alle Beteiligten, nicht nur für den Beschwerdeführer, wirksam ist. Wie das Bundesgericht ausgeführt hat, kann ein und dieselbe Pfändung nicht zugunsten des einen Gruppengläubigers aufgehoben oder geändert werden und für die anderen Gruppengläubiger unverändert Bestand haben. Die Schwierigkeiten einer derart doppelspurigen Weiterführung des Verfahrens liessen eine solche Lösung auch dort als unerwünscht erscheinen, wo sie nicht geradezu unmöglich wäre ( BGE 70 III 48 ; BGE 64 III 136 ). Die Rekurrentin weist keine Gründe nach, die eine Änderung dieser Rechtsprechung nahelegen könnten.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