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23</w:t>
      </w:r>
    </w:p>
    <w:p>
      <w:r>
        <w:t>Bundesgericht (BGE), 1988-01-01, DE</w:t>
      </w:r>
    </w:p>
    <w:p>
      <w:r>
        <w:rPr>
          <w:b/>
        </w:rPr>
        <w:t xml:space="preserve">Quelle: </w:t>
      </w:r>
      <w:r>
        <w:t>https://mcp.opencaselaw.ch/entscheid/bge_BGE_114_III_23</w:t>
      </w:r>
    </w:p>
    <w:p>
      <w:r>
        <w:t>FR: ATF 114 III 23</w:t>
      </w:r>
    </w:p>
    <w:p>
      <w:r>
        <w:t>IT: DTF 114 III 23</w:t>
      </w:r>
    </w:p>
    <w:p>
      <w:pPr>
        <w:pStyle w:val="Heading2"/>
      </w:pPr>
      <w:r>
        <w:t>Regeste</w:t>
      </w:r>
    </w:p>
    <w:p>
      <w:r>
        <w:t>Regeste Frist zur Klage gemäss Art. 242 Abs. 2 SchKG. Das Konkursamt hat bei der Fristansetzung zur Klage gemäss Art. 242 Abs. 2 SchKG vom rechtskräftig gewordenen Kollokationsplan auszugehen.</w:t>
      </w:r>
    </w:p>
    <w:p>
      <w:r>
        <w:t>Regeste Délai pour intenter l'action de l'art. 242 al. 2 LP. En assignant le délai pour intenter l'action de l'art. 242 al. 2 LP, l'office des faillites doit se fonder sur l'état de collocation entré en force.</w:t>
      </w:r>
    </w:p>
    <w:p>
      <w:r>
        <w:t>Regesto Termine per promuovere l'azione ai sensi dell'art. 242 cpv. 2 LEF. Nell'assegnare il termine per promuovere l'azione di cui all'art. 242 cpv. 2 LEF, l'ufficio dei fallimenti deve basarsi sulla graduatoria passata in giudicato.</w:t>
      </w:r>
    </w:p>
    <w:p>
      <w:pPr>
        <w:pStyle w:val="Heading2"/>
      </w:pPr>
      <w:r>
        <w:t>Erwägungen</w:t>
      </w:r>
    </w:p>
    <w:p>
      <w:r>
        <w:rPr>
          <w:b/>
        </w:rPr>
        <w:t>E. 2</w:t>
      </w:r>
    </w:p>
    <w:p>
      <w:r>
        <w:t>Während die Art. 106 und 109 SchKG bezüglich der Betreibung auf Pfändung das Eigentum und das Pfandrecht eines Dritten ins Auge fassen, verfügt die Konkursverwaltung nach dem unmissverständlichen Text von Art. 242 Abs. 1 SchKG über die Herausgabe von Sachen, welche von einem Dritten als Eigentum angesprochen werden. Der Anspruch, für dessen Geltendmachung durch Klage die Konkursverwaltung nach Art. 242 Abs. 2 SchKG dem Dritten Frist anzusetzen hat, bezieht sich somit ausschliesslich auf das Eigentum (vgl. auch Art. 641 Abs. 2 ZGB und Art. 45 KOV ) sowie auf Aussonderungsansprüche, welche von Gesetzes wegen ausdrücklich anerkannt werden ( Art. 201 und 203 SchKG , Art. 401 und 1053 OR , Art. 17 des Bundesgesetzes über die Anlagefonds [SR 951.31]). Streitigkeiten, die sich auf beschränkte dingliche Rechte beziehen - so zum Beispiel den Umfang der Pfandhaft -, sind demgegenüber im Kollokationsverfahren gemäss Art. 250 SchKG auszutragen ( BGE 106 III 27 E. 2; GILLIERON, Poursuite pour dettes, faillite et concordat, Lausanne 1985, S. 266 ff., S. 308 f.; AMONN, Grundriss des Schuldbetreibungs- und Konkursrechts, 4. Auflage Bern 1988, S. 320 ff.; S. 358 f.). Die kantonale Aufsichtsbehörde hat zutreffend festgestellt, dass die Kollokation der Forderung (von Fr. 618'439.--) des Rekurrenten und der damit verbundenen Pfandhaft nicht angefochten und damit rechtskräftig geworden ist ( BGE 110 III 113 E. 1). Diese Kollokation entspricht den Erfordernissen von Art. 60 Abs. 3 KOV und ist unmissverständlich, heisst es doch: "Für diese Forderung haften 4605 Uhren und 3116 Werke sowie 1 PV BX 16 RS bzw. deren Erlös gem. Inventar-Nr. 342/343/344." Entgegen der Behauptung des Rekurrenten kann deshalb keine Rede davon sein, dass die Kollokation "in höchstem Masse unklar" gewesen wäre. Nur wenn der Kollokationsplan keinen unzweideutigen Entscheid über den Umfang eines geltend gemachten Pfandrechts enthält, kann dies nach Ablauf der Frist noch mit Beschwerde gerügt werden ( BGE 106 III 26 f. E. 2, BGE 105 III 30 f. E. 3, mit Hinweisen); das ist hier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