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110</w:t>
      </w:r>
    </w:p>
    <w:p>
      <w:r>
        <w:t>Bundesgericht (BGE), 1988-01-01, DE</w:t>
      </w:r>
    </w:p>
    <w:p>
      <w:r>
        <w:rPr>
          <w:b/>
        </w:rPr>
        <w:t xml:space="preserve">Quelle: </w:t>
      </w:r>
      <w:r>
        <w:t>https://mcp.opencaselaw.ch/entscheid/bge_BGE_114_III_110</w:t>
      </w:r>
    </w:p>
    <w:p>
      <w:r>
        <w:t>FR: ATF 114 III 110</w:t>
      </w:r>
    </w:p>
    <w:p>
      <w:r>
        <w:t>IT: DTF 114 III 110</w:t>
      </w:r>
    </w:p>
    <w:p>
      <w:pPr>
        <w:pStyle w:val="Heading2"/>
      </w:pPr>
      <w:r>
        <w:t>Regeste</w:t>
      </w:r>
    </w:p>
    <w:p>
      <w:r>
        <w:t>Regeste Kollokation einer als pfandgesichert angemeldeten Forderung und des Faustpfandrechts, welches der paulianischen Anfechtung unterliegt (Art. 248, 285 ff. SchKG; Art. 58 KOV). Wenn nach der Auflassung der Konkursverwaltung ein Anfechtungstatbestand im Sinne von Art. 285 ff. SchKG gegeben ist, kann sie eine als pfandgesichert angemeldete Forderung in der 5. Klasse kollozieren und das damit geltend gemachte Faustpfandrecht abweisen.</w:t>
      </w:r>
    </w:p>
    <w:p>
      <w:r>
        <w:t>Regeste Collocation d'une créance déclarée garantie par gage et du nantissement soumis à l'action révocatoire (art. 248, 285 ss LP; art. 58 OF). Lorsque, de l'avis de l'administration de la faillite, il existe un cas de nullité au sens des art. 285 ss LP, elle peut colloquer une créance déclarée garantie par gage en 5e classe et écarter le nantissement ainsi invoqué.</w:t>
      </w:r>
    </w:p>
    <w:p>
      <w:r>
        <w:t>Regesto Graduazione di un credito insinuato come garantito da pegno e del diritto di pegno manuale soggetto all'azione revocatoria (art. 248, 285 segg. LEF; art. 58 RUF). Ove, secondo l'amministrazione del fallimento, sia dato un caso di nullità ai sensi degli art. 285 segg. LEF, essa può graduare in 5a classe un credito insinuato come garantito da pegno e disattendere il diritto di pegno manuale così fatto valere.</w:t>
      </w:r>
    </w:p>
    <w:p>
      <w:pPr>
        <w:pStyle w:val="Heading2"/>
      </w:pPr>
      <w:r>
        <w:t>Erwägungen</w:t>
      </w:r>
    </w:p>
    <w:p>
      <w:r>
        <w:rPr>
          <w:b/>
        </w:rPr>
        <w:t>E. 2</w:t>
      </w:r>
    </w:p>
    <w:p>
      <w:r>
        <w:t>Zutreffend sind die Ausführungen der Rekurrentin insofern, als sie betont, dass es im vorliegenden Fall nicht um die Frage geht, ob die Konkursverwaltung in einem Kollokationsprozess einredeweise Rechtshandlungen gemäss Art. 286 ff. SchKG als ungültig erklären lassen könne. Dass der Konkursverwaltung, welche gemäss Art. 285 Abs. 2 Ziff. 2 SchKG zur Anfechtungsklage legitimiert ist, auch eine entsprechende Einrede im Prozess zusteht, ist unbestritten (AMONN, Grundriss des Schuldbetreibungs- und Konkursrechts, § 52 N. 29; FRITZSCHE, Schuldbetreibung und Konkurs II, Zürich 1968, S. 286 f.; GILLIERON, Poursuite pour dettes, faillite et concordat, Lausanne 1985, S. 369, § 1 a.E.). Vielmehr geht es - wie die Rekurrentin weiter zutreffend festhält - um die Frage, ob die Konkursverwaltung eine als pfandgesichert angemeldete Forderung in der 5. Klasse kollozieren und das damit geltend gemachte Faustpfandrecht abweisen könne, wenn sie das Vorliegen eines Anfechtungstatbestandes behauptet.</w:t>
      </w:r>
    </w:p>
    <w:p>
      <w:r>
        <w:rPr>
          <w:b/>
        </w:rPr>
        <w:t>E. 3</w:t>
      </w:r>
    </w:p>
    <w:p>
      <w:r>
        <w:t>Es gibt entgegen der Auffassung der Rekurrentin keinen Grund, diese Frage zu verneinen. a) Vorweg ist festzuhalten, dass die von der Rekurrentin angerufenen Art. 200 SchKG und 27 KOV die Feststellung der Konkursmasse (Konkursinventar) betreffen und in diesem Zusammenhang auf die Vermögenswerte verweisen, die Gegenstand der paulianischen Anfechtung bilden. Diese Bestimmungen sind im vorliegenden BGE 114 III 110 S. 112 Fall nicht anzuwenden; denn was Inhalt des Kollokationsplanes ist, bestimmt sich nach den Art. 247 und 248 SchKG , Art. 56 ff. KOV und, wenn ein Eigentümerpfandtitel als Faustpfand für eine Forderung haftet, Art. 126 VZG (AMONN, a.a.O., § 46 N. 13). b) Gemäss Art. 248 SchKG werden im Kollokationsplan auch die abgewiesenen Forderungen, mit Angabe des Abweisungsgrundes, vorgemerkt. Sodann bestimmt Art. 58 Abs. 1 KOV , dass jede Ansprache in derjenigen Klasse und in demjenigen Rang aufzunehmen ist, der ihr von der Konkursverwaltung oder vom Gläubigerausschuss zuerkannt wird. War nach der soeben angerufenen Vorschrift die Konkursverwaltung unzweifelhaft befugt, die von der Rekurrentin angemeldete Forderung nicht als faustpfandgesichert, sondern lediglich in der 5. Klasse zu kollozieren, so war es nicht anders als folgerichtig, dass sie zugleich das Pfandrecht abwies. Unzulässig sind lediglich bedingte Zulassungen oder Abweisungen ( Art. 59 Abs. 2 KOV ). c) Die Rechtslage ist so eindeutig, dass wohl deswegen Judikatur zu dem von der Rekurrentin aufgeworfenen Problem spärlich ist. Immerhin stützen die weit zurückliegenden Bundesgerichtsentscheide, welche die kantonale Aufsichtsbehörde zitiert hat, deren Standpunkt. Der Rekurrentin, die ihre Auffassung unter anderem damit begründet, durch das Vorgehen des Konkursamtes im vorliegenden Fall würden die Parteirollen in unzulässigerweise vertauscht, ist vor allem BGE 31 II 351 E. 2 entgegenzuhalten. Dort ist das Vorbringen der klagenden Gläubigerin zurückgewiesen worden, das eingeschlagene Verfahren sei unkorrekt, weil richtigerweise die beklagte Konkursverwaltung als Klägerin hätte auftreten müssen. Das Hauptgewicht in dieser kurzen Erwägung liegt zwar auf der Feststellung, dass die paulianische Anfechtung auch einredeweise zulässig ist; doch gehen aus dem angeführten Satz klar die Klägerrolle der Gläubigerin und die Beklagtenrolle der Konkursverwaltung hervor. Dem Sachverhalt des zweiten von der Vorinstanz zitierten Entscheides lässt sich entnehmen, dass das Konkursamt das Pfandrecht nicht zuliess und die Gläubigerin hierauf die Kollokationsklage anstrengte ( BGE 50 III 143 ). Ferner geht aus BGE 83 III 84 f. hervor, dass die Konkursverwaltung die Forderung einer Bank in der 5. Klasse kollozierte und das Pfandrecht gestützt auf die Art. 285 ff. SchKG abwies. Ebenso lässt sich eine Abweisung BGE 114 III 110 S. 113 des Pfandrechts aus dem Sachverhalt in BGE 93 II 84 (B.) herauslesen. d) Die Argumente, welche die Rekurrentin gegen diese von ihr übersehene Praxis vorbringt, gehen an der Sache vorbei. Insbesondere kann ihrer Behauptung nicht gefolgt werden, das Vorgehen des Konkursamtes sei in all jenen Fällen unzulässig, wo gegen die Konkursforderung keine materiellrechtlichen Einwendungen erhoben würden. Die Kollokationsverfügung der Konkursverwaltung ist immer eine materielle Entscheidung; und mit der Kollokationsklage wird stets eine materiellrechtliche Überprüfung des Kollokationsplans bezweckt (AMONN, a.a.O., § 46 N. 40). Von der Anfechtungsklage lässt sich sagen, sie sei betreibungsrechtlicher Natur, jedoch mit Reflexwirkung auf das materielle Recht (AMONN, a.a.O., § 52 N. 4; GILLIERON, a.a.O., S. 376, § 1 am Ende, mit Hinweis auf BGE 74 III 60 f., wo der Anfechtungstatbestand von Art. 287 SchKG zur Diskussion stand). Mit der von der Rekurrentin konstruierten Unterscheidung zwischen Forderungen, gegen welche keine materiellrechtlichen Einwendungen erhoben würden, und solchen, wo neben betreibungsrechtlichen auch materiellrechtliche Einwendungen vorgebracht würden, ist nichts gewonnen.</w:t>
      </w:r>
    </w:p>
    <w:p>
      <w:r>
        <w:rPr>
          <w:b/>
        </w:rPr>
        <w:t>E. 4</w:t>
      </w:r>
    </w:p>
    <w:p>
      <w:r>
        <w:t>Nach dem Gesagten ist das Vorgehendes Konkursamtes des Kantons Glarus in keiner Weise zu beanstanden, und damit hält auch der angefochtene Entscheid vor Bundesrecht stand. Anders hätte die Konkursverwaltung nur vorgehen müssen, wenn die angemeldete Forderung bereits Gegenstand eines hängigen Kollokationsprozesses gebildet hätte. Sie hätte, gemäss Art. 63 Abs. 1 KOV , die Forderung ohne Verfügung lediglich pro memoria vormerken müssen ( BGE 112 III 38 f. E. 3). In der vorliegenden Streitsache hat die Rekurrentin nach ihren eigenen Ausführungen indessen erst nach Fällung des angefochtenen Entscheides, nämlich am 28. November 1988, Kollokationsklage erhoben. Dieser Umstand vermag daher auch nicht mehr das Urteil der Schuldbetreibungs- und Konkurskammer des Bundesgerichts zu beeinflussen.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