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241 vom 1. Januar 1988</w:t>
      </w:r>
    </w:p>
    <w:p>
      <w:r>
        <w:t>Bundesgericht (BGE), 1988-01-01, DE</w:t>
      </w:r>
    </w:p>
    <w:p>
      <w:r>
        <w:rPr>
          <w:b/>
        </w:rPr>
        <w:t xml:space="preserve">Quelle: </w:t>
      </w:r>
      <w:r>
        <w:t>https://mcp.opencaselaw.ch/entscheid/bge_BGE_114_IB_241</w:t>
      </w:r>
    </w:p>
    <w:p>
      <w:r>
        <w:t>FR: BGE BGE 114 IB 241 du 1 janvier 1988</w:t>
      </w:r>
    </w:p>
    <w:p>
      <w:r>
        <w:t>IT: BGE BGE 114 IB 241 del 1 gennaio 1988</w:t>
      </w:r>
    </w:p>
    <w:p>
      <w:pPr>
        <w:pStyle w:val="Heading2"/>
      </w:pPr>
      <w:r>
        <w:t>Regeste</w:t>
      </w:r>
    </w:p>
    <w:p>
      <w:r>
        <w:t>Regeste Forstpolizei, Rodung für eine Waldstrasse. Interessenabwägung nach Art. 26 Abs. 1 FPolV bei Beurteilung eines Gesuchs betreffend Rodung für eine Güterregulierungssache, hier eine Strasse. Überwiegendes Rodungsinteresse bejaht für ein Vorhaben, das in einer nur untergeordneten Verbreiterung eines heute schon vorhandenen Fussweges besteht und eine für eine landwirtschaftliche Bewirtschaftung unerlässliche Erschliessung herbeiführt.</w:t>
      </w:r>
    </w:p>
    <w:p>
      <w:r>
        <w:t>Regeste Police des forêts, défrichement pour une route forestière. Pesée des intérêts exigée par l'art. 26 al. 1 OFor dans l'examen d'une requête concernant une amélioration foncière, en l'espèce une route. Intérêt prépondérant au défrichement admis pour l'élargissement peu important d'un chemin pédestre existant, permettant la création d'un accès indispensable à l'exploitation agricole.</w:t>
      </w:r>
    </w:p>
    <w:p>
      <w:r>
        <w:t>Regesto Polizia delle foreste, dissodamento per una strada forestale. Ponderazione degli interessi secondo l'art. 26 cpv. 1 OVPF nell'esame di una domanda di dissodamento concernente una bonifica fondiaria, nella fattispecie una strada. Interesse preponderante a favore del dissodamento ammesso per il modesto ampliamento di un sentiero pedestre esistente, in modo da consentire la creazione di un accesso indispensabile per l'esercizio agricolo.</w:t>
      </w:r>
    </w:p>
    <w:p>
      <w:pPr>
        <w:pStyle w:val="Heading2"/>
      </w:pPr>
      <w:r>
        <w:t>Erwägungen</w:t>
      </w:r>
    </w:p>
    <w:p>
      <w:r>
        <w:rPr>
          <w:b/>
        </w:rPr>
        <w:t>E. 4</w:t>
      </w:r>
    </w:p>
    <w:p>
      <w:r>
        <w:t>e) In der Interessenabwägung ist davon auszugehen, dass das Walderhaltungsinteresse von Gesetzes wegen überwiegt (nicht publ. BGE vom 3. Dezember 1986 i.S. Ligue suisse pour la protection de la nature und EDI c. Favre, S. 5 f.). Es hat bloss zurückzutreten, wenn ein überwiegendes Rodungsinteresse nachgewiesen ist ( Art. 26 Abs. 1 FPolV ; BGE 112 Ib 200 E. 2a und BGE 108 Ib 268 f.). Im allgemeinen erfüllt das Interesse an der Landgewinnung für eine Güterregulierung diese Anforderung nicht, es sei denn, das Unternehmen werde sonst in seinem Kern verunmöglicht (vgl. BGE 114 Ib 235 E. dc; BGE 113 Ib 408 E. 4e; BGE 108 Ib 183 ff. und BGE 98 Ib 128 ff.). Es muss um eigentliche Existenzfragen gehen. Ausnahmen werden nur in geringem Ausmass zur Vornahme kleiner Korrekturen gemacht, allenfalls auch, wenn sich sonst ein Landwirtschaftsbetrieb vernünftigerweise nicht mehr aufrechterhalten liesse oder wenn damit wenigstens eine sehr beachtliche Ertragssteigerung erreicht würde und keine gewichtigen Gründe des Landschaftsschutzes entgegenstehen (s. BGE 108 Ib 184 und das erwähnte Urteil vom 3. Dezember 1986 E. 3c, ferner nicht publ. BGE vom 30. April 1986 i.S. Yvorne und Corbeyrier E. 3a, vom 22. August 1979 i.S. SBN c. Wilhelm E. 2 sowie vom 3. Oktober 1975 i.S. SBN c. Rhyner E. 4). aa) Die von der Flurgenossenschaft vorgesehene Güterstrasse Flüe erfüllt diese Anforderungen. Es geht dabei nicht wie im Normalfall der erwähnten Rechtsprechung um die Gewinnung von Acker- oder Wiesland, sondern um eine strassenmässige Verbindung. Das Vorhaben besteht nur in einer doch untergeordneten Verbreiterung eines heute schon vorhandenen Fussweges und soll eine Erschliessung herbeiführen, wie sie für eine landwirtschaftliche Bewirtschaftung unerlässlich ist; die heutigen Erschliessungsverhältnisse über den erwähnten Fussweg oder die Fahrspur sind ungenügend. Dem Beschwerdeführer schwebt offenbar immer noch eine Erschliessung durch die Fahrspur über das Aecherli vor; diese ist aber offensichtlich ungenügend. Dagegen soll die projektierte Waldstrasse selbst nach den Angaben des Beschwerdeführers nach dem Projekt des Meliorationsamtes lastwagenbefahrbar erstellt werden; auf andere Angaben etwa im Privatgutachten Grunder kommt es insoweit gar nicht an. Also wäre mit dem Werk der Erschliessungszweck erreichbar.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