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378 vom 1. Januar 1988</w:t>
      </w:r>
    </w:p>
    <w:p>
      <w:r>
        <w:t>Bundesgericht (BGE), 1988-01-01, DE</w:t>
      </w:r>
    </w:p>
    <w:p>
      <w:r>
        <w:rPr>
          <w:b/>
        </w:rPr>
        <w:t xml:space="preserve">Quelle: </w:t>
      </w:r>
      <w:r>
        <w:t>https://mcp.opencaselaw.ch/entscheid/bge_BGE_114_IA_378</w:t>
      </w:r>
    </w:p>
    <w:p>
      <w:r>
        <w:t>FR: BGE BGE 114 IA 378 du 1 janvier 1988</w:t>
      </w:r>
    </w:p>
    <w:p>
      <w:r>
        <w:t>IT: BGE BGE 114 IA 378 del 1 gennaio 1988</w:t>
      </w:r>
    </w:p>
    <w:p>
      <w:pPr>
        <w:pStyle w:val="Heading2"/>
      </w:pPr>
      <w:r>
        <w:t>Regeste</w:t>
      </w:r>
    </w:p>
    <w:p>
      <w:r>
        <w:t>Regeste Art. 88 OG, Legitimation von Eigentümern benachbarter Liegenschaften zur Anfechtung von Nutzungsplänen. Die Beschwerdeführerin macht keine Verletzung von irgendwelchen Normen geltend, die auch ihrem Schutze dienen und die mit der Festlegung der angefochtenen Zone nicht mehr oder nur noch in geänderter Form gelten würden. Im Hinblick auf die erhobenen Rügen kann daher auf die Beschwerde nicht eingetreten werden.</w:t>
      </w:r>
    </w:p>
    <w:p>
      <w:r>
        <w:t>Regeste Art. 88 OJ, qualité pour recourir des propriétaires de biens-fonds voisins contre des plans d'affectation. Le recours est irrecevable, car la recourante ne fait pas valoir la violation de normes qui tendraient aussi à la protéger, et dont la portée serait réduite à néant ou modifiée en raison de la création de la zone contestée.</w:t>
      </w:r>
    </w:p>
    <w:p>
      <w:r>
        <w:t>Regesto Art. 88 OG, legittimazione dei proprietari di fondi vicini a ricorrere contro piani di utilizzazione. Inammissibilità del ricorso, poiché la ricorrente non fa valere la violazione di norme destinate anche alla sua protezione e la cui portata sarebbe annullata o modificata in conseguenza della creazione della zona contestata.</w:t>
      </w:r>
    </w:p>
    <w:p>
      <w:pPr>
        <w:pStyle w:val="Heading2"/>
      </w:pPr>
      <w:r>
        <w:t>Erwägungen</w:t>
      </w:r>
    </w:p>
    <w:p>
      <w:r>
        <w:rPr>
          <w:b/>
        </w:rPr>
        <w:t>E. 4</w:t>
      </w:r>
    </w:p>
    <w:p>
      <w:r>
        <w:t>a) Die Beschwerdeführerin ist nicht Grundeigentümerin innerhalb desjenigen Gebietes, das neu der Gewerbezone zugeteilt ist. Sie ist lediglich Eigentümerin einer Liegenschaft oberhalb des betreffenden Areals in der Zone WE1 (zweigeschossige Wohnzone in empfindlichem Gebiet). Gemäss der Praxis des Bundesgerichtes ist zur Anfechtung eines Nutzungsplanes mit staatsrechtlicher Beschwerde sowohl der Eigentümer eines vom Plan erfassten Grundstückes befugt als auch der Eigentümer einer benachbarten Liegenschaft, der geltend macht, die Planfestsetzung verletze ihn in seinen verfassungsmässigen Rechten, weil dadurch Normen, die auch seinem Schutze dienten, nicht mehr oder in geänderter Form BGE 114 Ia 378 S. 380 gelten würden oder weil sie die Nutzung seiner Liegenschaft beschränke. In beiden Fällen reicht die Anfechtungsbefugnis nur soweit, als die Auswirkungen des streitigen Planes auf das eigene Grundstück in Frage stehen ( BGE 112 Ia 93 , BGE 113 Ia 238 E. 2). b) Ob sich die Planänderung auf das Grundstück der Beschwerdeführerin im Sinne dieser Rechtsprechung auswirken wird, kann offengelassen werden. Im Hinblick auf die erhobenen Rügen kann auf die Beschwerde aus den nachfolgenden Gründen nicht eingetreten werden. Die Beschwerdeführerin macht geltend, durch die Planänderung vermindere sich der Wert ihres Grundstückes. Angesichts der benachbarten Freihalte- und Wohnzonen erscheine die Zuteilung des betreffenden Areals zur Gewerbezone geradezu als sinnwidrig. Die Eigentumsgarantie gemäss Art. 22ter BV sei in erster Linie verletzt, weil es an der gesetzlichen Grundlage fehle; weder der regionale noch der kantonale Richtplan enthielten eine Grundlage für die Gewerbezone. Die Eigentumsgarantie sei auch wegen Fehlens eines öffentlichen Interesses verletzt; es könne unmöglich im öffentlichen Interesse liegen, empfindliches Gebiet durch eine Gewerbezone zu unterbrechen. Zudem sei auch das Verhältnismässigkeitsprinzip verletzt, bestehe doch kein überwiegendes öffentliches Interesse an der Festsetzung einer Gewerbezone im fraglichen Gebiet. Die Einführung einer an ein Wohngebiet in empfindlicher Lage sowie an eine Freihaltezone angrenzenden Gewerbezone sei willkürlich. Die Beschwerdeführerin macht mit diesen Rügen keine Verletzung von irgendwelchen Normen geltend, die auch ihrem Schutze dienen und die nach der Festlegung der Gewerbezone nicht mehr oder nur noch in geänderter Form gelten würden. Insbesondere beruft sie sich nicht auf öffentlichrechtliche Immissionsschutzbestimmungen, welche mit der Festsetzung der streitigen Gewerbezone zu ihrem Nachteil aufgehoben oder gelockert würden. Mit ihren Vorbringen rügt sie auch nicht, durch die Festlegung der Gewerbezone werde die Nutzung ihrer Liegenschaft beschränkt. Die Richtplanung, der nach dem Vorbringen der Beschwerdeführerin die Festlegung einer Gewerbezone im fraglichen Gebiet widersprechen soll, bindet sowohl nach Bundesrecht ( Art. 9 RPG ) als auch nach dem zürcherischen Recht nur die (nachgeordneten) Instanzen, nicht aber direkt die privaten Grundeigentümer (vgl. § § 18 ff. PBG ; BGE 107 Ia 77 ). Aus diesem Grund kann die Beschwerdeführerin daraus keine privaten Rechte bzw. Normen ableiten, die BGE 114 Ia 378 S. 381 auch ihrem Schutze dienen (unveröffentlichtes Urteil i.S. Halter vom 31. März 1988). Das gleiche gilt wesensgemäss vom behaupteten Umstand, es fehle am öffentlichen Interesse für die Festlegung einer Gewerbezone. Da die Beschwerdeführerin die Verletzung des Verhältnismässigkeitsgrundsatzes ebenfalls mit dem Fehlen eines hinreichenden öffentlichen Interesses begründet, fehlt es auch diesbezüglich an Gründen, welche sie als Eigentümerin eines ausserhalb der Planfestsetzung liegenden Grundstückes als legitimiert erscheinen liessen. Auch insofern, als die Beschwerdeführerin in der Planfestsetzung eine Verletzung des Willkürverbotes sieht, ist sie nicht zur staatsrechtlichen Beschwerde legitimiert. Nach ständiger Rechtsprechung verschafft nämlich das allgemeine Willkürverbot, das bei jeder staatlichen Tätigkeit zu beachten ist, für sich allein dem Betroffenen noch keine geschützte Rechtsstellung im Sinne von Art. 88 OG . Eine Legitimation zur Willkürbeschwerde besteht erst dann, wenn der angefochtene Entscheid den Beschwerdeführer in seiner vorhandenen Rechtsstellung berührt und damit in seine rechtlich geschützten Interessen eingreift. Die Geltendmachung des Willkürverbotes setzt somit eine Berechtigung in der Sache voraus ( BGE 112 Ia 178 E. 3c; 110 Ia 75 E. 2a, je mit Hinweisen). Auf die Beschwerde kann deshalb mangels Legitimation der Beschwerdeführerin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