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329 vom 1. Januar 1988</w:t>
      </w:r>
    </w:p>
    <w:p>
      <w:r>
        <w:t>Bundesgericht (BGE), 1988-01-01, FR</w:t>
      </w:r>
    </w:p>
    <w:p>
      <w:r>
        <w:rPr>
          <w:b/>
        </w:rPr>
        <w:t xml:space="preserve">Quelle: </w:t>
      </w:r>
      <w:r>
        <w:t>https://mcp.opencaselaw.ch/entscheid/bge_BGE_114_IA_329</w:t>
      </w:r>
    </w:p>
    <w:p>
      <w:r>
        <w:t>FR: BGE BGE 114 IA 329 du 1 janvier 1988</w:t>
      </w:r>
    </w:p>
    <w:p>
      <w:r>
        <w:t>IT: BGE BGE 114 IA 329 del 1 gennaio 1988</w:t>
      </w:r>
    </w:p>
    <w:p>
      <w:pPr>
        <w:pStyle w:val="Heading2"/>
      </w:pPr>
      <w:r>
        <w:t>Regeste</w:t>
      </w:r>
    </w:p>
    <w:p>
      <w:r>
        <w:t>Regeste Art. 4 Abs. 2 BV; Gleichberechtigung von Mann und Frau. Beschwerdelegitimation. Der erste Satz von Art. 4 Abs. 2 BV kann nicht direkt angerufen werden, um eine staatsrechtliche Beschwerde zu stützen, die sich gegen den Entscheid über eine Auseinandersetzung zwischen Privaten richtet. Der zweite Satz von Art. 4 Abs. 2 BV enthält kein verfassungsmässiges Individualrecht auf Gleichbehandlung von Mann und Frau (E. 2b).</w:t>
      </w:r>
    </w:p>
    <w:p>
      <w:r>
        <w:t>Regeste Art. 4 al. 2 Cst.; égalité entre hommes et femmes. Qualité pour recourir. L'art. 4 al. 2, 1re phrase, Cst. ne peut pas être invoqué directement à l'appui d'un recours de droit public dirigé contre une décision rendue dans une contestation entre particuliers. L'art. 4 al. 2, 2e phrase, Cst. ne crée pas un droit individuel à l'égalité de traitement entre hommes et femmes (consid. 2b).</w:t>
      </w:r>
    </w:p>
    <w:p>
      <w:r>
        <w:t>Regesto Art. 4 cpv. 2 Cost.; uguaglianza tra uomo e donna. Legittimazione ricorsuale. L'art. 4 cpv. 2 primo periodo Cost. non può essere invocato direttamente a sostegno di un ricorso di diritto pubblico proposto contro una decisione pronunciata in una controversia tra privati. L'art. 4 cpv. 2 secondo periodo Cost. non stabilisce un diritto individuale all'uguaglianza tra uomo e donna (consid. 2b).</w:t>
      </w:r>
    </w:p>
    <w:p>
      <w:pPr>
        <w:pStyle w:val="Heading2"/>
      </w:pPr>
      <w:r>
        <w:t>Erwägungen</w:t>
      </w:r>
    </w:p>
    <w:p>
      <w:r>
        <w:rPr>
          <w:b/>
        </w:rPr>
        <w:t>E. 2</w:t>
      </w:r>
    </w:p>
    <w:p>
      <w:r>
        <w:t>b) La qualité pour recourir appartient aux particuliers et aux collectivités lésés par des arrêts ou par des décisions qui les concernent personnellement ou qui sont d'une portée générale ( art. 88 OJ ). Le recours de droit public n'est donc ouvert à un particulier que si l'inconstitutionnalité dont il se prévaut l'atteint dans ses intérêts personnels et juridiquement protégés. Le Tribunal fédéral examine librement si ces conditions sont réalisées ( ATF 112 Ia 94 et les arrêts cités). L'art. 4 al. 2, 1re phrase, Cst., invoqué par la recourante, est, dès son entrée en vigueur, directement applicable de sorte que tout citoyen peut en principe s'en prévaloir pour faire annuler, par la voie du recours de droit public, une nouvelle disposition légale ou BGE 114 Ia 329 S. 331 réglementaire cantonale ou une décision de l'autorité cantonale qui consacre une inégalité de traitement entre les sexes non justifiée par des différences biologiques ou fonctionnelles entre les hommes et les femmes ( ATF 108 Ia 133 consid. 3a; voir aussi les arrêts non publiés T., du 8 novembre 1985, et B., du 10 octobre 1986, reproduits, respectivement, in ZBl 87/1986, p. 482 ss (traduction) et 88/1987, p. 306 ss). En revanche, contrairement à l'interdiction des discriminations en matière de rémunération (art. 4 al. 2, 3e phrase, Cst.; ATF 113 Ia 110 et les références), la règle précitée ne s'adresse pas aux particuliers mais à l'Etat; elle ne produit pas d'effet horizontal direct (direkte Dritt- oder Horizontalwirkung; sur cette notion, cf. ATF 111 II 254 et les références) dans les rapports entre personnes privées (cf., parmi d'autres, MORAND, in L'égalité entre hommes et femmes, bilan et perspectives, Lausanne 1988, p. 80/81; WEBER-DÜRLER, Auf dem Weg zur Gleichberechtigung, in RDS 104/1985, I, p. 16). D'où il suit que la recourante n'a pas qualité pour s'en prévaloir directement en l'espèce à l'appui d'un recours de droit public dirigé contre une décision rendue dans une affaire opposant deux particuliers. Au demeurant, elle ne le fait pas puisqu'elle soutient en réalité que c'est la manière dont la cour cantonale a appliqué les normes du droit privé touchant l'extinction des rapports de travail qui n'est pas compatible avec le droit constitutionnel en cause. Elle oublie toutefois, en argumentant de la sorte, qu'un tel moyen, tiré de l'effet civil indirect des droits fondamentaux (pour un exemple, cf. ATF 111 II 255 ) ou du principe dit de l'interprétation conforme (cf. MORAND, op.cit., p. 81, ch. 2), peut être soulevé dans le cadre d'un recours en réforme lorsque, comme c'est ici le cas, la valeur litigieuse atteint au moins 8'000 francs. Son recours de droit public est, partant, irrecevable étant donné le caractère subsidiaire de cette voie de droit ( art. 84 al. 2 OJ ). Les considérations qui précédent s'appliquent à plus forte raison à l'art. 4 al. 2, 2e phrase, Cst., également invoqué par la recourante, car cette disposition du droit objectif de la Constitution ne crée pas un droit individuel à l'égalité de traitement entre hommes et femmes (MORAND, op.cit., p. 86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