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173 vom 1. Januar 1988</w:t>
      </w:r>
    </w:p>
    <w:p>
      <w:r>
        <w:t>Bundesgericht (BGE), 1988-01-01, DE</w:t>
      </w:r>
    </w:p>
    <w:p>
      <w:r>
        <w:rPr>
          <w:b/>
        </w:rPr>
        <w:t xml:space="preserve">Quelle: </w:t>
      </w:r>
      <w:r>
        <w:t>https://mcp.opencaselaw.ch/entscheid/bge_BGE_114_IA_173</w:t>
      </w:r>
    </w:p>
    <w:p>
      <w:r>
        <w:t>FR: BGE BGE 114 IA 173 du 1 janvier 1988</w:t>
      </w:r>
    </w:p>
    <w:p>
      <w:r>
        <w:t>IT: BGE BGE 114 IA 173 del 1 gennaio 1988</w:t>
      </w:r>
    </w:p>
    <w:p>
      <w:pPr>
        <w:pStyle w:val="Heading2"/>
      </w:pPr>
      <w:r>
        <w:t>Regeste</w:t>
      </w:r>
    </w:p>
    <w:p>
      <w:r>
        <w:t>Regeste Gemeindeautonomie. Den bernischen Gemeinden steht in bezug auf die Steuerteilung, d.h. für ihren Anspruch gegenüber der Veranlagungsgemeinde auf einen Anteil an der Gemeindesteuer eines Pflichtigen, keine Autonomie zu.</w:t>
      </w:r>
    </w:p>
    <w:p>
      <w:r>
        <w:t>Regeste Autonomie communale. Les communes bernoises ne jouissent d'aucune autonomie en matière de répartition d'impôt, notamment pour faire valoir à l'encontre de la commune de taxation leur droit à une part de l'impôt communal versée par le contribuable.</w:t>
      </w:r>
    </w:p>
    <w:p>
      <w:r>
        <w:t>Regesto Autonomia comunale. I comuni bernesi non godono di alcuna autonomia in materia di ripartizione d'imposta, ossia per quanto concerne il loro diritto nei confronti del comune di tassazione a una quota dell'imposta comunale versata da un contribuente.</w:t>
      </w:r>
    </w:p>
    <w:p>
      <w:pPr>
        <w:pStyle w:val="Heading2"/>
      </w:pPr>
      <w:r>
        <w:t>Erwägungen</w:t>
      </w:r>
    </w:p>
    <w:p>
      <w:r>
        <w:rPr>
          <w:b/>
        </w:rPr>
        <w:t>E. 3</w:t>
      </w:r>
    </w:p>
    <w:p>
      <w:r>
        <w:t>a) Die Beschwerdeführerinnen stützen die von ihnen beanspruchte Autonomie im Sachbereich der Gemeindesteuern nicht auf Verfassungsbestimmungen. Die bernische Kantonsverfassung BGE 114 Ia 173 S. 176 garantiert ihnen in diesem Bereich auch im Abschnitt über die Gemeinden (Art. 63-71) keine Autonomie. Höchstens liesse sich ein Autonomiebereich indirekt (e contrario) aus den Bestimmungen über die Staatssteuern herleiten (vgl. Art. 6 Ziff. 6 und Art. 26 Ziff. 8 KV). Doch gilt Art. 92 KV, wonach das Steuerwesen Sache der Gesetzgebung ist, mindestens seinem Wortlaut nach auch für alle Gemeindesteuern. Es wird denn auch die Auffassung vertreten, dass den bernischen Gemeinden lediglich eine abgeleitete Steuerhoheit auf dem Wege der kantonalen Gesetzgebung verliehen werden könne (I. BLUMENSTEIN, Kommentar zu Art. 192 StG , N. 1 S. 496 mit Hinweisen). Dies entspricht mindestens auf dem Gebiet der direkten Steuern vom Einkommen und Vermögen bzw. bei Kapitalgesellschaften vom Gewinn (Reinertrag) und Kapital der in allen Kantonen herrschenden Rechtsauffassung. Eine Autonomie, d.h. ein Raum, in dem sie relativ erhebliche Gestaltungsfreiheit geniessen, wird den Gemeinden zudem auf diesem Gebiet in den wenigsten Kantonen eingeräumt (HÖHN, Steuerrecht, 5. Aufl., § 7 N. 10 S. 133/4 und § 12 N. 3 S. 169, E. BLUMENSTEIN, System des Steuerrechts, 3. Aufl., S. 41). Von einem verfassungsmässigen Autonomiebereich der bernischen Einwohnergemeinden kann deshalb jedenfalls hinsichtlich der ordentlichen Gemeindesteuern nicht gesprochen werden, wenn ihnen überhaupt Autonomie im Rahmen des kantonalen Steuergesetzes zukommt. b) Ein derartiger Autonomiebereich kann, entgegen der von den Beschwerdeführerinnen vertretenen Ansicht, namentlich nicht aus dem ersten Titel des zweiten Teils des Gesetzes über die Gemeindesteuern (Art. 192 bis 194) hergeleitet werden, auch wenn dieser Titel "Steuerhoheit" lautet. Das Gesetz verlangt dort als Voraussetzung der Steuererhebung, dass den Gemeinden Aufwand für ihre öffentlichen Aufgaben entsteht, den zu decken ihre übrigen Mittel nicht ausreichen (Art. 193, vgl. das Marginale). Es sieht zwar vor, dass die Gemeinden für die Steuererhebung Reglemente zu erlassen haben, die der Genehmigung der zuständigen Direktion unterliegen ( Art. 194 Abs. 1 StG ). In ihren Reglementen können die Einwohnergemeinden allenfalls auf dem Gebiet der ausserordentlichen Gemeindesteuern ( Art. 219 Abs. 1 ff. StG , auch autonome Gemeindesteuern genannt, vgl. I. BLUMENSTEIN, a.a.O., Art. 219 N. 3) von einer gewissen Gestaltungsfreiheit Gebrauch machen. Was die ordentlichen Gemeindesteuern auf den Gegenständen der Staatssteuern (Art. 195 Ziff. 1 ff.) betrifft, lassen ihnen BGE 114 Ia 173 S. 177 die gesetzlichen Bestimmungen keine Gestaltungsfreiheit; die Gemeinden können nur gerade die für die Behandlung von Stundungs- und Erlassbegehren sowie für Beschlüsse über Rückerforderungsbegehren und Steuervergünstigungen zuständige Behörde im Reglement bezeichnen ( Art. 198 Abs. 2 StG ). Davon abgesehen besteht ein gewisser Ermessensspielraum der Gemeinde einzig darin, dass sie jährlich bei der Abstimmung über den Voranschlag die Steueranlage festzusetzen haben ( Art. 197 Abs. 2 StG ). Ob insofern von einer Autonomie der Gemeinde gesprochen werden kann, mag offen bleiben. Veranlagung und Bezug dieser ordentlichen Steuern richten sich ausschliesslich nach den Vorschriften des kantonalen Steuerrechts. c) Das gilt auch für die Steuerteilung der aufgrund der Staatssteuerregister (Staatssteuergegenstände) erhobenen allgemeinen ordentlichen Gemeindesteuer ( Art. 201 ff. StG ), d.h. für den Anspruch der anderen Gemeinden des Kantons gegenüber der. Veranlagungsgemeinde auf einen Anteil an dieser Gemeindesteuer eines Pflichtigen. Den Anteil können die anderen Gemeinden nur unter den in Art. 202 StG gesetzlich und abschliessend geregelten Voraussetzungen beanspruchen (GRUBER, Handkommentar zu Art. 202 StG N. 5, 5. Aufl. S. 376). Zudem steht ihnen dieser gesetzliche Anspruch bloss unter dem Vorbehalt der Einschränkungen durch das grossrätliche Dekret gemäss Art. 203 StG zu. Der Grosse Rat kann insbesondere minimale Anteile am Steuerbetrag festsetzen, bis zu denen die anderen Gemeinden eine Steuerteilung gar nicht verlangen dürfen (lit. a). Ausserdem bestimmt sich das Verfahren für die Geltendmachung der Steueransprüche, die Teilung und die Einsprache nach diesem grossrätlichen Dekret (lit. b). Wenn dieses Dekret schliesslich die Steuerteilung in erster Instanz den Behörden der Veranlagungsgemeinde unter Mitwirkung der Ansprechergemeinden überträgt (Art. 9 bis 11 GTD), überträgt es ihnen damit ebenfalls keinen der Ermessenskontrolle kantonaler Behörden entzogenen Raum zur freien Gestaltung ihrer Angelegenheiten. Vielmehr unterliegen die Entscheidungen der Veranlagungsgemeinde der umfassenden Prüfung, sowohl hinsichtlich des Sachverhalts wie auch der Rechtsanwendung, im Klageverfahren vor dem kantonalen Verwaltungsgericht (Art. 3, 6 und 10 GTD) oder auf Einsprache durch die Kantonale Steuerverwaltung und auf Beschwerde in dritter Instanz durch das kantonale Verwaltungsgericht (Art. 12 GTD). Sowohl auf Klage über BGE 114 Ia 173 S. 178 Rechtsansprüche zwischen gleichgestellten Parteien (vgl. Art. 18 VRPG) wie auf Einsprache nach den Bestimmungen über die Staatssteuerveranlagung ( Art. 134 ff. StG ) sind allfällige Ermessensfragen, soweit sie sich hinsichtlich der Steuerteilung stellen können, von der Rechtsmittelinstanz zu überprüfen. Entsprechend kann - entgegen der Auffassung der Beschwerdeführerinnen und der Kantonalen Steuerverwaltung in ihrer Vernehmlassung an das Bundesgericht - von einer Autonomie der bernischen Gemeinden im Steuerteilungsverfahren nicht gesprochen werden. d) Die Beschwerde wegen Verletzung in ihrer Autonomie ist daher abzuweisen, weil die Beschwerdeführerinnen im streitigen Bereich keine Autonomie geniessen. Das Verwaltungsgericht hatte im Beschwerdeverfahren die kantonalrechtlichen Vorschriften über die Gemeindesteuerteilung und über das Beschwerdeverfahren anzuwenden, dagegen keine Autonomie der Beschwerdeführerinnen zu respektieren, jedenfalls solange nicht die von ihnen selber festgesetzten Steueranlagen ( Art. 197 Abs. 2 StG ) zu überprüfen waren. Können sich die Beschwerdeführerinnen im fraglichen Sachgebiet nicht auf einen Autonomiebereich berufen, braucht im weiteren nicht untersucht zu werden, ob die Beschwerde auch deshalb abzuweisen wäre, weil die Abgrenzung der Steuerhoheit zwischen Gemeinden eines Kantons durch eine kantonale Behörde nach kantonalem Recht nicht Gegenstand einer staatsrechtlichen Beschwerde wegen Verletzung der Gemeindeautonomie sein kann (vgl. BGE 101 Ia 520 ; ASA 45, S. 45 E. 2d; BGE 110 Ia 50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