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71</w:t>
      </w:r>
    </w:p>
    <w:p>
      <w:r>
        <w:t>Bundesgericht (BGE), 1987-01-30, DE</w:t>
      </w:r>
    </w:p>
    <w:p>
      <w:r>
        <w:rPr>
          <w:b/>
        </w:rPr>
        <w:t xml:space="preserve">Quelle: </w:t>
      </w:r>
      <w:r>
        <w:t>https://mcp.opencaselaw.ch/entscheid/bge_BGE_113_V_71</w:t>
      </w:r>
    </w:p>
    <w:p>
      <w:r>
        <w:t>FR: ATF 113 V 71</w:t>
      </w:r>
    </w:p>
    <w:p>
      <w:r>
        <w:t>IT: DTF 113 V 71</w:t>
      </w:r>
    </w:p>
    <w:p>
      <w:pPr>
        <w:pStyle w:val="Heading2"/>
      </w:pPr>
      <w:r>
        <w:t>Regeste</w:t>
      </w:r>
    </w:p>
    <w:p>
      <w:r>
        <w:t>Regeste Art. 45 Abs. 3 AlVV, Art. 30 Abs. 3 AVIG: Einstellung in der Anspruchsberechtigung. Die Fristen in Art. 45 Abs. 3 Satz 2 AlVV bzw. Art. 30 Abs. 3 Satz 4 AVIG beziehen sich auf die Vollstreckung bereits verfügter Einstellungen. Sie stehen der nachträglichen Anordnung einer Einstellung nicht entgegen.</w:t>
      </w:r>
    </w:p>
    <w:p>
      <w:r>
        <w:t>Regeste Art. 45 al. 3 OAC, art. 30 al. 3 LACI: Suspension du droit à l'indemnité. Les délais prévus par les art. 45 al. 3 deuxième phrase OAC et 30 al. 3 quatrième phrase LACI se rapportent à l'exécution de suspensions déjà prononcées. Ils ne font pas obstacle au prononcé ultérieur d'une suspension.</w:t>
      </w:r>
    </w:p>
    <w:p>
      <w:r>
        <w:t>Regesto Art. 45 cpv. 3 OAD, art. 30 cpv. 3 LADI: Sospensione del diritto all'indennità. I termini stabiliti dall'art. 45 cpv. 3 seconda frase OAD e 30 cpv. 3 quarta frase LADI si riferiscono all'esecuzione di sospensioni già pronunciate. Non ostano alla pronuncia ulteriore di una sospensione.</w:t>
      </w:r>
    </w:p>
    <w:p>
      <w:pPr>
        <w:pStyle w:val="Heading2"/>
      </w:pPr>
      <w:r>
        <w:t>Erwägungen</w:t>
      </w:r>
    </w:p>
    <w:p>
      <w:r>
        <w:rPr>
          <w:b/>
        </w:rPr>
        <w:t>E. 1</w:t>
      </w:r>
    </w:p>
    <w:p>
      <w:r>
        <w:t>/ 2.- / 3.- (Die Fallbeurteilung richtet sich nach der bis Ende 1983 in Kraft gewesenen arbeitslosenversicherungsrechtlichen Ordnung. Die Nichtauszahlung der Arbeitslosenentschädigung erweist sich als richtig, sei es dass mit der Arbeitslosenkasse selbstverschuldete Arbeitslosigkeit wegen fristloser Entlassung und damit ein Grund für die Einstellung in der Anspruchsberechtigung bejaht wird, sei es dass - für den Fall der Annahme einer ungerechtfertigten Entlassung - der Verdienstausfall wegen Verzichts auf die Durchsetzung von Lohnansprüchen nicht angerechnet werden kann.)</w:t>
      </w:r>
    </w:p>
    <w:p>
      <w:r>
        <w:rPr>
          <w:b/>
        </w:rPr>
        <w:t>E. 4</w:t>
      </w:r>
    </w:p>
    <w:p>
      <w:r>
        <w:t>a) Zu prüfen ist, ob im vorliegenden Fall eine Einstellung überhaupt noch zulässig war. Nach Art. 45 Abs. 3 Satz 2 AlVV werden die am Ende des Kalenderjahres nicht bestandenen Einstellungstage auf das folgende Kalenderjahr übertragen; nach Ablauf desselben fällt die Einstellung dahin. Es stellt sich dabei insbesondere die Frage, ob die genannte Frist das Recht der Arbeitslosenkasse bzw. der kantonalen BGE 113 V 71 S. 73 Amtsstelle zur verfügungsweisen Anordnung einer Einstellung, d.h. zur Geltendmachung des Sanktionsanspruchs zeitlich begrenzt oder ob sie sich bloss auf die Vollstreckung einer verfügten Einstellung bezieht (vgl. in diesem Zusammenhang BGE 111 V 95 zu Art. 16 Abs. 1 und 2 AHVG ). b) Art. 45 Abs. 3 Satz 2 AlVV spricht von "nicht bestandenen Einstellungstagen" und davon, dass die "Einstellung" dahinfalle. Daraus geht unmissverständlich hervor, dass eine bereits verfügte Einstellung vorausgesetzt wird. Die zeitliche Begrenzung in der erwähnten Bestimmung beschlägt mithin nicht das Recht der Verwaltung, eine Einstellung zu verfügen, sondern bloss die Vollstreckung einer Einstellung. Denn "dahinfallen" kann nur eine verfügte Einstellung. In diesem Sinne hat das Eidg. Versicherungsgericht bereits im nicht veröffentlichten Urteil B. vom 21. August 1984 zu Art. 45 Abs. 3 Satz 2 AlVV entschieden, indem es festgestellt hat, die Möglichkeit der Anordnung einer Einstellung in der Anspruchsberechtigung sei zeitlich grundsätzlich nicht befristet, weshalb eine solche Massnahme auch rückwirkend getroffen werden könne; die Befristung betreffe nur das Recht der Verwaltung auf Vollstreckung der Sanktion, so dass demzufolge bei Ablauf der Frist nach Art. 45 Abs. 3 Satz 2 AlVV ein Vollzug nicht mehr möglich sei. Diese Grundsätze werden auch unter der Herrschaft des neuen Rechts anzuwenden sein. Einerseits sagt Art. 30 Abs. 3 Satz 4 AVIG ebenfalls: "Die Einstellung fällt dahin." Anderseits wollte der Gesetzgeber mit dem Erlass des AVIG bei der Durchführung von Einstellungen keine grundlegenden Neuerungen einführen; er beschränkte sich im wesentlichen darauf, den Verfall von nicht bestandenen Einstellungstagen grosszügiger zu regeln (BBl 1980 III 590), indem er die Verfallsfrist von bisher bis zu zwei Jahren auf sechs Monate verkürzte. Zusammenfassend ist daher festzuhalten, dass es sich bei den in Art. 45 Abs. 3 Satz 2 AlVV bzw. Art. 30 Abs. 3 Satz 4 AVIG genannten Fristen um Vollstreckungsfristen handelt. Es geht um bereits verfügte Einstellungen, die nach Ablauf der erwähnten Fristen nicht mehr "bestanden" werden können mit der Folge, dass die Einstellung dahinfällt und der Anspruch auf Vollstreckung mit dem unbenützten Ablauf der Frist infolge Verwirkung untergeht (vgl. in diesem Zusammenhang BGE 112 V 7 Erw. 4c zu Art. 82 AHVV ). BGE 113 V 71 S. 74 c) Der Beschwerdeführer besuchte vom 28. März bis zum 15. April 1983 die Stempelkontrolle. Für diese Zeitspanne wurde ihm keine Arbeitslosenentschädigung ausbezahlt, da die Arbeitslosenkasse die Taggelder im Hinblick auf die in Aussicht gestellte Klage gegen die ehemalige Arbeitgeberin wegen fristloser Auflösung des Arbeitsverhältnisses zurückbehielt. Dies bedeutet, dass der Beschwerdeführer die am 30. September 1985 nachträglich verfügte Einstellung von 14 Tagen in der Anspruchsberechtigung ab 28. März 1983 in der fraglichen Stempelperiode bereits bestanden hat und der Vollzug der Einstellung rechtzeitig erfolgt ist. Die in Art. 45 Abs. 3 Satz 2 AlVV und in der übergangsrechtlichen Bestimmung des Art. 131 Abs. 3 AVIV genannten Vollstreckungsfristen stehen der nachträglich verfügten Einstellung somit nicht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