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54</w:t>
      </w:r>
    </w:p>
    <w:p>
      <w:r>
        <w:t>Bundesgericht (BGE), 1987-01-01, DE</w:t>
      </w:r>
    </w:p>
    <w:p>
      <w:r>
        <w:rPr>
          <w:b/>
        </w:rPr>
        <w:t xml:space="preserve">Quelle: </w:t>
      </w:r>
      <w:r>
        <w:t>https://mcp.opencaselaw.ch/entscheid/bge_BGE_113_V_54</w:t>
      </w:r>
    </w:p>
    <w:p>
      <w:r>
        <w:t>FR: ATF 113 V 54</w:t>
      </w:r>
    </w:p>
    <w:p>
      <w:r>
        <w:t>IT: DTF 113 V 54</w:t>
      </w:r>
    </w:p>
    <w:p>
      <w:pPr>
        <w:pStyle w:val="Heading2"/>
      </w:pPr>
      <w:r>
        <w:t>Regeste</w:t>
      </w:r>
    </w:p>
    <w:p>
      <w:r>
        <w:t>Regeste Art. 36 Abs. 2 UVG und Art. 36 Abs. 3 Satz 1 UVV: Integritätsentschädigung: Zusammentreffen verschiedener Schadensursachen. - Art. 36 Abs. 3 Satz 1 UVV regelt grundsätzlich nur das Zusammentreffen von Integritätsschäden, die nach dem UVG als solche versichert sind (Erw. 2). - Art. 36 Abs. 2 UVG setzt voraus, dass der Unfall und das nicht versicherte Ereignis eine bestimmte Schädigung gemeinsam verursacht haben; die diesbezügliche Praxis zu Art. 91 KUVG gilt auch im Rahmen von Art. 36 Abs. 2 UVG (Erw. 2). - Art. 36 Abs. 2 Satz 2 UVG ist im Bereich der Integritätsentschädigungen nicht anwendbar (Erw. 2). Art. 145 UVV: Übergangsrecht bei Berufskrankheiten. Art. 145 UVV bezweckt einzig, für die Zeit ab 1. Januar 1984 die neue (erweiterte) Liste gemäss Anhang I zur UVV auch für diejenigen Versicherten als anwendbar zu erklären, deren Leiden vorher nicht als Berufskrankheit anerkannt war. Ob diese Versicherten einen Leistungsanspruch besitzen, beurteilt sich dagegen nach den hiefür massgebenden gesetzlichen Bestimmungen, zu welchen insbesondere auch die Übergangsnorm des Art. 118 UVG gehört (Erw. 3).</w:t>
      </w:r>
    </w:p>
    <w:p>
      <w:r>
        <w:t>Regeste Art. 36 al. 2 LAA et art. 36 al. 3 première phrase OLAA: Indemnisation de l'atteinte à l'intégrité: Concours entre diverses causes du dommage. - L'art. 36 al. 3 première phrase OLAA ne règle en principe que le concours d'atteintes à l'intégrité qui, en tant que telles, sont assurées en vertu de la LAA (consid. 2). - L'art. 36 al. 2 LAA suppose que l'accident et l'événement non assuré aient causé ensemble un préjudice déterminé; la jurisprudence rendue à ce propos en relation avec l'art. 91 LAMA est aussi valable dans le cadre de l'art. 36 al. 2 LAA (consid. 2). - L'art. 36 al. 2 seconde phrase LAA n'est pas applicable à l'indemnisation de l'atteinte à l'intégrité (consid. 2). Art. 145 OLAA: Droit transitoire en cas de maladies professionnelles. L'unique objet de l'art. 145 OLAA est de déclarer également applicable, dès le 1er janvier 1984, la nouvelle liste (élargie) de l'annexe 1 à l'OLAA aux assurés souffrant d'une affection qui n'était jusqu'alors pas reconnue comme maladie professionnelle. En revanche, le point de savoir si ces assurés ont droit à des prestations est tranché selon les dispositions légales qui sont à cet égard déterminantes et auxquelles appartient aussi, notamment, la norme transitoire de l'art. 118 LAA (consid. 3).</w:t>
      </w:r>
    </w:p>
    <w:p>
      <w:r>
        <w:t>Regesto Art. 36 cpv. 2 LAINF e art. 36 cpv. 3 prima frase OAINF: Indennità per menomazione dell'integrità: Concorso di diverse cause di sinistri. - L'art. 36 cpv. 3 prima frase OAINF non disciplina di principio che il concorso di menomazioni dell'integrità come tali assicurate dalla LAINF (consid. 2). - L'art. 36 cpv. 2 LAINF presuppone che l'infortunio e l'evento non assicurato abbiano congiuntamente provocato una menomazione; la giurisprudenza relativa all'art. 91 LAMI è valida anche nell'ambito dell'art. 36 cpv. 2 LAINF (consid. 2). - L'art. 36 cpv. 2 seconda frase LAINF non è applicabile all'indennità per menomazione dell'integrità (consid. 2). Art. 145 OAINF: Diritto transitorio e malattie professionali. L'art. 145 OAINF persegue il solo scopo di dichiarare applicabile, dal 1o gennaio 1984, la nuova lista (allargata) dell'allegato I all'OAINF agli assicurati affetti di un danno sino allora non riconosciuto quale malattia professionale. Se detti assicurati dispongono di un diritto a prestazioni è di contro giudicato secondo le disposizioni legali determinanti, cui appartiene anche la norma transitoria dell'art. 118 LAINF (consid. 3).</w:t>
      </w:r>
    </w:p>
    <w:p>
      <w:pPr>
        <w:pStyle w:val="Heading2"/>
      </w:pPr>
      <w:r>
        <w:t>Erwägungen</w:t>
      </w:r>
    </w:p>
    <w:p>
      <w:r>
        <w:rPr>
          <w:b/>
        </w:rPr>
        <w:t>E. 1</w:t>
      </w:r>
    </w:p>
    <w:p>
      <w:r>
        <w:t>a) Gemäss Art. 118 Abs. 1 UVG werden Versicherungsleistungen für Unfälle, die sich vor dem Inkrafttreten dieses Gesetzes (1. Januar 1984) ereignet haben, und für Berufskrankheiten, die BGE 113 V 54 S. 57 vor diesem Zeitpunkt ausgebrochen sind, nach dem bisherigen Recht (KUVG) gewährt. Gemäss Art. 118 Abs. 2 lit. c UVG gelten jedoch für Versicherte der SUVA in den in Abs. 1 erwähnten Fällen vom Inkrafttreten dieses Gesetzes an dessen Bestimmungen unter anderem über die Invalidenrenten und Integritätsentschädigungen, sofern der Anspruch erst nach dem Inkrafttreten dieses Gesetzes entsteht. b) Erleidet der Versicherte durch den Unfall eine dauernde Schädigung der körperlichen oder geistigen Integrität, so hat er gemäss Art. 24 Abs. 1 UVG Anspruch auf eine angemessene Integritätsentschädigung. Nach Art. 24 Abs. 2 UVG wird die Entschädigung mit der Invalidenrente festgesetzt oder, falls kein Rentenanspruch besteht, bei der Beendigung der ärztlichen Behandlung gewährt. c) Strittig ist, ob der Beschwerdeführer wegen des seinerzeit als Berufskrankheit anerkannten Gehörschadens grundsätzlich Anspruch auf eine Integritätsentschädigung gemäss Art. 24 UVG hat. Es ist unbestritten, dass die Behandlung dieses Gehörschadens vor dem 1. Januar 1984 abgeschlossen wurde, nämlich im September 1983. Gemäss Art. 24 Abs. 2 UVG wäre somit der Anspruch auf eine Integritätsentschädigung im September 1983 entstanden, wenn das KUVG diese Leistung vorgesehen hätte. Ein Leistungsanspruch gemäss Art. 118 Abs. 2 lit. c UVG ist daher nicht gegeben.</w:t>
      </w:r>
    </w:p>
    <w:p>
      <w:r>
        <w:rPr>
          <w:b/>
        </w:rPr>
        <w:t>E. 2</w:t>
      </w:r>
    </w:p>
    <w:p>
      <w:r>
        <w:t>Der Beschwerdeführer wendet hiegegen ein, die Aufspaltung eines Integritätsschadens in einen altrechtlichen und einen neurechtlichen Teil sei unzulässig, und beruft sich hiefür auf Art. 36 Abs. 3 UVV in Verbindung mit Art. 36 Abs. 2 UVG . Gemäss Art. 36 Abs. 3 Satz 1 UVV ist die Integritätsentschädigung nach der gesamten Beeinträchtigung festzusetzen, wenn mehrere körperliche oder geistige Integritätsschäden aus einem oder mehreren Unfällen zusammenfallen. Nach Art. 36 Abs. 2 UVG werden Invalidenrenten, Integritätsentschädigungen und Hinterlassenenrenten angemessen gekürzt, wenn die Gesundheitsschädigung oder der Tod nur teilweise die Folge eines Unfalles ist (Satz 1); Gesundheitsschädigungen vor dem Unfall, die zu keiner Verminderung der Erwerbsfähigkeit geführt haben, werden dabei nicht berücksichtigt (Satz 2). Aus diesen Bestimmungen schliesst der Beschwerdeführer, bei der Festlegung des Umfangs des Integritätsschadens seien Beeinträchtigungen aus früheren Unfällen oder Berufskrankheiten ebenfalls zu berücksichtigen. Wegen unfallfremder bzw. BGE 113 V 54 S. 58 berufskrankheitsfremder Faktoren dürfte die Integritätsentschädigung nur dann gekürzt werden, wenn diese vor dem Unfall zu einer Verminderung der Erwerbsfähigkeit geführt hätten. Umsomehr müsse das gelten, wenn die Schädigung auf eine anerkannte Berufskrankheit zurückzuführen sei. Dieser Betrachtungsweise kann nicht gefolgt werden. Nach dem oben Gesagten hat der Beschwerdeführer nach Massgabe von Art. 118 Abs. 2 lit. c UVG für die mit dem Gehörschaden gegebene Integritätseinbusse keinen Entschädigungsanspruch. Dem ist auch im Rahmen von Art. 36 Abs. 3 Satz 1 UVV Rechnung zu tragen. Diese Verordnungsbestimmung regelt grundsätzlich nur das Zusammentreffen von Integritätsschäden, die nach dem Gesetz als solche versichert sind. Zu Unrecht beruft sich der Beschwerdeführer in diesem Zusammenhang auf Art. 36 Abs. 2 UVG . Diese Kürzungsbestimmung setzt voraus, dass der Unfall und das nicht versicherte Ereignis eine bestimmte Gesundheitsschädigung gemeinsam verursacht haben. Dagegen ist diese Bestimmung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Unfalles für sich allein zu bewerten (MAURER, Schweizerisches Unfallversicherungsrecht, S. 470 f.; zur gleichlautenden altrechtlichen Praxis zu Art. 91 KUVG siehe BGE 107 V 238 Erw. 3, BGE 105 V 207 Erw. 2, BGE 104 V 161 f. sowie MAURER, Recht und Praxis der schweizerischen obligatorischen Unfallversicherung, S. 302). Im vorliegenden Fall können die Krankheitsbilder der Trigeminusneuropathie und des Gehörschadens klar auseinandergehalten werden, und ebenso lassen sich die hieraus resultierenden Integritätseinbussen isoliert würdigen und festlegen. Dementsprechend geht der Beschwerdeführer in der Verwaltungsgerichtsbeschwerde selber von zwei getrennt messbaren Integritätsschäden aus, nämlich der Einbusse von 20% wegen der Trigeminusneuropathie und 10% wegen des Gehörschadens. Ist Art. 36 Abs. 2 UVG hier nicht anwendbar und lässt sich der nicht versicherte Schaden ausscheiden, so ist nicht ersichtlich, weshalb von Art. 118 Abs. 2 lit. c UVG abgewichen werden könnte bzw. ein Schaden mit zu berücksichtigen wäre, der nach Massgabe von Art. 24 Abs. 2 UVG bereits unter der Herrschaft des alten Rechts einen Anspruch auf eine Integritätsentschädigung begründet hätte, BGE 113 V 54 S. 59 wenn das Gesetz diese Leistungskategorie damals schon gekannt hätte. Der vom Beschwerdeführer angerufene Satz 2 des Art. 36 Abs. 2 UVG sodann ist schon deshalb nicht anwendbar, weil dieser gemäss klarem Wortlaut nur die Renten beschlägt, kann sich doch das dort verwendete Kriterium der "Erwerbsfähigkeit" lediglich auf die Invalidenrenten beziehen. Dass das der Wille des Gesetzgebers ist, ergibt sich (entgegen der Auffassung von MAURER in Unfallversicherungsrecht, S. 470 N. 1228a) klar aus dem französischen und italienischen Text von Satz 2 des Art. 36 Abs. 2 UVG , in welchem ausdrücklich von den Renten die Rede ist (Toutefois, en réduisant les rentes, on ne tiendra pas compte des états antérieurs qui ne portaient pas atteinte à la capacité de gain / Per la riduzione delle rendite non si terrà tuttavia conto delle affezioni anteriori non pregiudizievoli alla capacità di guadagno).</w:t>
      </w:r>
    </w:p>
    <w:p>
      <w:r>
        <w:rPr>
          <w:b/>
        </w:rPr>
        <w:t>E. 3</w:t>
      </w:r>
    </w:p>
    <w:p>
      <w:r>
        <w:t>Der auf Art. 118 Abs. 1 und Art. 118 Abs. 2 lit. c UVG gestützten vorinstanzlichen Feststellung, dass keine Integritätsentschädigung gewährt werden kann, wenn der Anspruch darauf gemäss Art. 24 Abs. 2 UVG nicht nach dem 1. Januar 1984 entstanden ist, hält der Beschwerdeführer ferner Art. 145 UVV entgegen. Danach werden für die im Anhang I zur UVV aufgeführten Krankheiten, die nach der Verordnung vom 17. Dezember 1973 über Berufskrankheiten (AS 1974 47) keinen Anspruch begründeten, Versicherungsleistungen ab dem Inkrafttreten der UVV ausgerichtet. Es ist unbestritten, dass der in Art. 145 UVV normierte Tatbestand auf den Beschwerdeführer nicht zutrifft, da dieser an einer Berufskrankheit leidet, die schon unter dem alten Recht versichert war. Der Beschwerdeführer vertritt jedoch die Auffassung, dass diese Bestimmung in seinem Fall gleichwohl anwendbar sei, denn wenn nach Art. 145 UVV für nicht versichert gewesene Berufskrankheiten Leistungen gewährt würden, so müsse das umsomehr für bereits früher versicherte Berufskrankheiten gelten; "es wäre doch wohl nicht richtig, diejenigen Versicherten schlechterzustellen, deren Leiden schon nach altem Recht als Berufskrankheit anerkannt war". Art. 145 UVV zielt indessen nicht auf eine Schlechterstellung der Versicherten mit bisher anerkannter Berufskrankheit ab, sondern bezweckt einzig, für die Zeit ab 1. Januar 1984 die neue (erweiterte) Liste gemäss Anhang I zur UVV auch für diejenigen Versicherten als anwendbar zu erklären, deren Leiden vorher nicht als Berufskrankheit anerkannt war. Mehr als BGE 113 V 54 S. 60 diese Gleichstellung hinsichtlich der Anerkennung als Berufskrankheit ist nicht gewollt. Ob ein Versicherter, der in den Genuss der besagten Gleichstellung kommt, infolge seiner Berufskrankheit Leistungsansprüche besitzt, beurteilt sich dagegen nach den massgeblichen gesetzlichen Bestimmungen. Dazu gehört vorab die grundlegende Übergangsnorm des Art. 118 UVG (über den im Rahmen von Art. 145 UVV hinauszugehen der Bundesrat ohnehin nicht ermächtigt wäre). Demnach kann der in Art. 145 UVV erfasste Versicherte eine Integritätsentschädigung nur erhalten, wenn der Anspruch darauf nach dem 1. Januar 1984 entstanden ist. Der Beschwerdeführer beruft sich daher zu Unrecht auf Art. 145 UVV .</w:t>
      </w:r>
    </w:p>
    <w:p>
      <w:r>
        <w:rPr>
          <w:b/>
        </w:rPr>
        <w:t>E. 4</w:t>
      </w:r>
    </w:p>
    <w:p>
      <w:r>
        <w:t>Der Beschwerdeführer räumt ein, dass er für seinen Gehörschaden nie eine Integritätsentschädigung erhalten würde, wenn nicht ein anderes Ereignis, das zu einer Integritätsentschädigung führt, diesen Anspruch auslösen würde. Solche Besserstellungen durch ein späteres Ereignis kämen aber nach dem Gesetz auch sonst immer wieder vor, wie sich das am Beispiel des Verlusts paariger Organe ( Art. 29 Abs. 3 UVV ) zeige. Auch dieses Argument vermag dem Beschwerdeführer nicht zu helfen. Zwar ist es richtig, dass der Gesetz- bzw. Verordnungsgeber verschiedenenorts für die Versicherten grosszügigere Lösungen getroffen hat, was in der Hauptsache mit dem Ziele geschah, altrechtliche Mängel oder Unzulänglichkeiten zu beheben (wie etwa auch mit dem oben bereits erwähnten, die Invalidenrenten betreffenden Satz 2 des Art. 36 Abs. 2 UVG ). Wo indessen solche Neuerungen als notwendig erachtet wurden, fanden sie ausdrücklichen Eingang in Gesetz oder Verordnung. Es ist nicht angängig, aus einer allgemeinen Tendenz des Gesetzgebers zur Besserstellung der Versicherten gegenüber der altrechtlichen Ordnung oder aus spezifischen Lösungen zu hier nicht in Frage stehenden Problemen für den vorliegenden Fall eine Regelung abzuleiten, die Art. 118 Abs. 2 lit. c UVG widerspricht.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