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159</w:t>
      </w:r>
    </w:p>
    <w:p>
      <w:r>
        <w:t>Bundesgericht (BGE), 1987-05-25, DE</w:t>
      </w:r>
    </w:p>
    <w:p>
      <w:r>
        <w:rPr>
          <w:b/>
        </w:rPr>
        <w:t xml:space="preserve">Quelle: </w:t>
      </w:r>
      <w:r>
        <w:t>https://mcp.opencaselaw.ch/entscheid/bge_BGE_113_V_159</w:t>
      </w:r>
    </w:p>
    <w:p>
      <w:r>
        <w:t>FR: ATF 113 V 159</w:t>
      </w:r>
    </w:p>
    <w:p>
      <w:r>
        <w:t>IT: DTF 113 V 159</w:t>
      </w:r>
    </w:p>
    <w:p>
      <w:pPr>
        <w:pStyle w:val="Heading2"/>
      </w:pPr>
      <w:r>
        <w:t>Regeste</w:t>
      </w:r>
    </w:p>
    <w:p>
      <w:r>
        <w:t>Regeste Art. 128 OG. Die Anfechtung der Motive eines Rückweisungsentscheides, auf die im Dispositiv verwiesen wird, ist zulässig, soweit die betreffenden Erwägungen zum Streitgegenstand gehören.</w:t>
      </w:r>
    </w:p>
    <w:p>
      <w:r>
        <w:t>Regeste Art. 128 OJ. Il est admissible d'attaquer les motifs d'une décision de renvoi, auxquels se réfère le dispositif, pour autant que les considérants en question fassent partie de l'objet de la contestation.</w:t>
      </w:r>
    </w:p>
    <w:p>
      <w:r>
        <w:t>Regesto Art. 128 OG. È ammissibile impugnare i motivi di una decisione di rinvio, cui si fa riferimento nel dispositivo, nella misura in cui essi sono parte dell'oggetto litigioso.</w:t>
      </w:r>
    </w:p>
    <w:p>
      <w:pPr>
        <w:pStyle w:val="Heading2"/>
      </w:pPr>
      <w:r>
        <w:t>Erwägungen</w:t>
      </w:r>
    </w:p>
    <w:p>
      <w:r>
        <w:rPr>
          <w:b/>
        </w:rPr>
        <w:t>E. 1</w:t>
      </w:r>
    </w:p>
    <w:p>
      <w:r>
        <w:t>c) Nach der Rechtsprechung des Eidg. Versicherungsgerichts stellt der Rückweisungsentscheid einer kantonalen Rekursinstanz eine im Sinne von Art. 128 in Verbindung mit Art. 97 Abs. 1 OG und Art. 5 VwVG mit Verwaltungsgerichtsbeschwerde an das Eidg. Versicherungsgericht anfechtbare Endverfügung dar (ZAK 1986 S. 298; vgl. auch EVGE 1967 S. 189 Erw. 1). Wie das Bundesamt für Sozialversicherung in der Verwaltungsgerichtsbeschwerde zu Recht festhält, ist grundsätzlich nur das Dispositiv, nicht aber die Begründung eines Entscheides anfechtbar ( BGE 110 V 52 oben). Verweist indessen das Dispositiv eines Rückweisungsentscheides ausdrücklich auf die Erwägungen, werden diese zu dessen Bestandteil und haben, soweit sie zum Streitgegenstand gehören, an der formellen Rechtskraft teil (GRISEL, Traité de droit administratif, S. 882; GULDENER, Schweizerisches Zivilprozessrecht, 3. Aufl., S. 247 N. 36 in fine; GYGI, Bundesverwaltungsrechtspflege, S. 323; KÖLZ, Kommentar zum Verwaltungsrechtspflegegesetz des Kantons Zürich, S. 242). Dementsprechend sind die Motive, auf die das Dispositiv verweist, für die Behörde, an die BGE 113 V 159 S. 160 die Sache zurückgewiesen wird, bei Nichtanfechtung verbindlich (ZAK 1984 S. 328; GYGI, a.a.O., S. 232 oben; KÄLIN, Das Verfahren der staatsrechtlichen Beschwerde, S. 340 f., je mit Hinweisen auf die bundesgerichtliche Rechtsprechung). Beziehen sich diese Erwägungen auf den Streitgegenstand, ist somit auch deren Anfechtbarkeit zu bejahen (RKUV 1987 Nr. K 727 S. 170 Erw. 1a). Soweit diesbezüglich den in ZAK 1986 S. 50 und 57 publizierten Urteilen etwas anderes entnommen werden könnte, ist daran nicht festzuhalten. Vorliegend gehört die Frage nach einer rentenbegründenden bleibenden Erwerbsunfähigkeit zum Streitgegenstand. Da das kantonale Gericht in seinem Entscheid von einer bleibenden Erwerbsunfähigkeit ab Dezember 1984 ausging und im Dispositiv u.a. auf diese Erwägung verwies, ist nach dem Gesagten die Annahme einer Dauerinvalidität im Sinne von Art. 29 Abs. 1 Variante 1 IVG ebenfalls anfechtbar, weshalb auf die Verwaltungsgerichtsbeschwerde in diesem Punkte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