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140</w:t>
      </w:r>
    </w:p>
    <w:p>
      <w:r>
        <w:t>Bundesgericht (BGE), 1987-01-01, DE</w:t>
      </w:r>
    </w:p>
    <w:p>
      <w:r>
        <w:rPr>
          <w:b/>
        </w:rPr>
        <w:t xml:space="preserve">Quelle: </w:t>
      </w:r>
      <w:r>
        <w:t>https://mcp.opencaselaw.ch/entscheid/bge_BGE_113_V_140</w:t>
      </w:r>
    </w:p>
    <w:p>
      <w:r>
        <w:t>FR: ATF 113 V 140</w:t>
      </w:r>
    </w:p>
    <w:p>
      <w:r>
        <w:t>IT: DTF 113 V 140</w:t>
      </w:r>
    </w:p>
    <w:p>
      <w:pPr>
        <w:pStyle w:val="Heading2"/>
      </w:pPr>
      <w:r>
        <w:t>Regeste</w:t>
      </w:r>
    </w:p>
    <w:p>
      <w:r>
        <w:t>Regeste Art. 25 MVG: Integritätsschaden. Die Bemessung des Integritätsschadens in Prozenten oder Graden hat sich weder direkt noch analogieweise nach den Ansätzen gemäss Anhang 3 zur UVV zu richten (Erw. 2c und 3). Art. 49 Abs. 1 MVG: Rückgriff. Art. 49 Abs. 1 MVG ist zwingendes Recht. Die Militärversicherung darf daher die von ihr zu erbringende Integritätsentschädigung nicht um den Betrag einer Genugtuungsleistung eines Haftpflichtversicherers kürzen (Erw. 6). Art. 22 MVG: Gewinnverbot: Kürzung von Zulagen? - Ein Gewinnverbot im Verhältnis aller oder bestimmter Zweige der Sozialversicherung und bezüglich aller gleichartigen Leistungen bedarf einer gesetzlichen Grundlage (Erw. 7b, c). - Mangels gesetzlicher Grundlage darf die Militärversicherung Zulagen gemäss Art. 22 MVG nicht um den Betrag einer Hilflosenentschädigung der Invalidenversicherung kürzen, um einen Versicherungsgewinn zu verhindern (Erw. 7c). - Bedürftigkeit ist im Rahmen von Art. 22 MVG nicht Anspruchsvoraussetzung (Erw. 7d).</w:t>
      </w:r>
    </w:p>
    <w:p>
      <w:r>
        <w:t>Regeste Art. 25 LAM: Atteinte à l'intégrité. Pour évaluer en pour cent ou en degré le préjudice résultant d'une atteinte à l'intégrité, l'on ne saurait se fonder, ni directement ni par analogie, sur les taux indiqués à l'annexe 3 à l'OLAA (consid. 2c et 3). Art. 49 al. 1 LAM: Recours. L'art. 49 al. 1 LAM est de droit impératif. Par conséquent, l'assurance militaire ne peut pas imputer sur l'indemnité pour atteinte à l'intégrité qui lui incombe le montant dû au titre de réparation morale par un assureur de la responsabilité civile (consid. 6). Art. 22 LAM: Interdiction de la surindemnisation: réduction des indemnités supplémentaires? - Une interdiction de la surindemnisation, dans les relations entre deux ou plusieurs branches de l'assurance sociale et visant toute prestation de même nature, est soumise à l'exigence d'une base légale (consid. 7b, c). - Faute d'une base légale, l'assurance militaire n'a pas le droit, dans le but d'empêcher un gain d'assurance, de réduire les indemnités supplémentaires au sens de l'art. 22 LAM du montant de l'allocation pour impotent versé par l'assurance-invalidité (consid. 7c). - Dans le cadre de l'art. 22 LAM, le besoin n'est pas une condition du droit aux indemnités (consid. 7d).</w:t>
      </w:r>
    </w:p>
    <w:p>
      <w:r>
        <w:t>Regesto Art. 25 LAM: Menomazione dell'integrità. La determinazione percentuale o in gradi della menomazione dell'integrità non può essere basata direttamente né par analogia sui tassi indicati nell'allegato 3 dell'OAINF (consid. 2c e 3). Art. 49 cpv. 1 LAM: Regresso. L'art. 49 cpv. 1 LAM è di carattere imperativo. L'assicurazione militare pertanto non può ridurre l'indennità per menomazione dell'integrità dell'importo dovuto da un'assicurazione sulla responsabilità civile a titolo di riparazione morale (consid. 6). Art. 22 LAM: Divieto di sovraindennità: riduzione delle indennità suppletive? - Un divieto di sovraindennità nei rapporti di tutti o di determinati rami delle assicurazioni sociali e concernente prestazioni della stessa natura necessita di base legale (consid. 7b, c). - Carente una base legale l'assicurazione militare non può ridurre indennità suppletive ai sensi dell'art. 22 LAM dell'importo di un assegno per grandi invalidi dell'assicurazione invalidità al fine di impedire un guadagno d'assicurazione (consid. 7c). - Nell'ambito dell'art. 22 LAM l'indigenza non è presupposto del diritto (consid. 7d).</w:t>
      </w:r>
    </w:p>
    <w:p>
      <w:pPr>
        <w:pStyle w:val="Heading2"/>
      </w:pPr>
      <w:r>
        <w:t>Erwägungen</w:t>
      </w:r>
    </w:p>
    <w:p>
      <w:r>
        <w:rPr>
          <w:b/>
        </w:rPr>
        <w:t>E. 2</w:t>
      </w:r>
    </w:p>
    <w:p>
      <w:r>
        <w:t>c)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110 V 119 mit Hinweisen). Nach der Rechtsprechung des Eidg. Versicherungsgerichts wird die Beeinträchtigung prozentmässig ermittelt aufgrund vergleichender Betrachtung des funktionell-anatomischen Zustandes vor und nach Eintritt des versicherten Gesundheitsschadens ( BGE 112 V 389 f. mit Hinweisen).</w:t>
      </w:r>
    </w:p>
    <w:p>
      <w:r>
        <w:rPr>
          <w:b/>
        </w:rPr>
        <w:t>E. 3</w:t>
      </w:r>
    </w:p>
    <w:p>
      <w:r>
        <w:t>a) Walter B. leidet gemäss Arztbericht an einer vollständigen Paraplegie beider Beine und an Störungen der Blasen- und Darmentleerung sowie der Sexualfunktion. Der kantonale Richter hat aufgrund dieser gesundheitlichen Verhältnisse und in Anwendung der hievor dargelegten Grundsätze erkannt, dass die vom BAMV getroffene Schätzung des Integritätsschadensgrades mit 65% angemessen sei. Es hat die vom Versicherten unter Hinweis auf Art. 36 Abs. 2 UVV und Anhang 3 zur UVV beantragte Erhöhung des Schadensgrades auf 90% abgelehnt, weil die Berechnungsgrundlagen für die Integritätsrente nach MVG einerseits und die Integritätsentschädigung gemäss UVG anderseits völlig unterschiedlich konzipiert seien. Hiegegen wendet der Versicherte in der Verwaltungsgerichtsbeschwerde ein, das Eidg. Versicherungsgericht postuliere die Einheitlichkeit des Invaliditätsbegriffes in der obligatorischen Unfall-, der Militär- und der Invalidenversicherung ( BGE 109 V 23 Erw. 2a). In "konsequenter Weiterentwicklung dieses Gedankens" müsse auch die Einheitlichkeit in der Integritätsschadenbemessung in der obligatorischen Unfallversicherung und der Militärversicherung postuliert werden. Es leuchte nicht ein, dass die Prozentsätze gemäss Anhang 3 zur UVV nicht auch für den Bereich der Militärversicherung herangezogen werden könnten. b) Aus der Einheitlichkeit des Invaliditätsbegriffes gemäss der vom Versicherten erwähnten Rechtsprechung folgt indes keineswegs, dass der Integritätsschaden in der Militärversicherung und der Unfallversicherung nach den gleichen Regeln zu bemessen ist. Es trifft wohl zu, dass die Schätzung der Invalidität bei Erwerbstätigen BGE 113 V 140 S. 144 in der Invalidenversicherung, der obligatorischen Unfallversicherung und der Militärversicherung mit Bezug auf den gleichen Gesundheitsschaden praxisgemäss grundsätzlich den gleichen Invaliditätsgrad zu ergeben hat ( BGE 109 V 23 f., BGE 106 V 88 Erw. 2b). Das resultiert indes daraus, dass der Invaliditätsgrad in diesen Versicherungszweigen nach der gleichen Methode (Einkommensvergleich) und auf der Grundlage des gleichen massgebenden Sachverhalts zu bestimmen ist. Demgegenüber bestehen jedoch in der obligatorischen Unfallversicherung und der Militärversicherung für die Bemessung eines Integritätsschadens unterschiedliche Methoden, die mit Bezug auf die gleiche Integritätseinbusse nicht zwingend zur gleichen Festsetzung des Schadens in Prozenten oder Graden führen. Für die Unfallversicherung hat der Bundesrat im Anhang 3 zur UVV das Mass der Integritätseinbusse bei wichtigen und typischen Schäden prozentual festgelegt und aufgelistet; der Grad des Integritätsverlusts bei speziellen oder nicht aufgeführten Schäden ist nach der Schwere aus einer verwandten oder vergleichbaren Position der Skala der Integritätsschäden abzuleiten (siehe Ziff. 1 Abs. 2 Anhang 3 UVV; MAURER, Schweizerisches Unfallversicherungsrecht, S. 421 lit. 2c). Die gradmässige Bewertung eines Integritätsschadens ist mithin in der Unfallversicherung für den konkreten Fall positivrechtlich im wesentlichen vorgezeichnet. Zudem wird die Integritätseinbusse abstrakt und egalitär bemessen, indem bei gleichem medizinischem Befund der Integritätsschaden für alle Versicherten gleich festgesetzt wird (GILG/ZOLLINGER, Die Integritätsentschädigung nach dem Bundesgesetz über die Unfallversicherung, S. 38 und 46; MAURER, a.a.O., S. 417). In der Militärversicherung ist ein Integritätsschaden gemäss Art. 25 Abs. 1 MVG dagegen "in Würdigung aller Umstände nach billigem Ermessen" festzusetzen. Damit verfügt die Militärversicherung bei der Schätzung eines Integritätsschadens über einen weit grösseren Spielraum als die Unfallversicherung und kann die Einbusse individueller bemessen, indem sie beispielsweise das Alter oder besondere persönliche Umstände des Versicherten berücksichtigen kann. Hiebei sind die Richtwerte gemäss Anhang 3 zur UVV grundsätzlich auch nicht analogieweise anwendbar, weil diese über die Unfallversicherung hinaus keine allgemeingültige gradmässige Bewertung der erfassten Schäden darstellen. Die betreffenden Prozentzahlen sind nicht als voraussetzungsloser Ausdruck ausschliesslich medizinisch begründeter Abstufungen zu betrachten, sondern können nur im Zusammenhang mit der BGE 113 V 140 S. 145 Beschränkung der Leistungen auf den Höchstbetrag des versicherten Jahresverdienstes und die Ausrichtung der Entschädigung in Form einer Kapitalabfindung ( Art. 25 Abs. 1 UVG ) richtig verstanden und gewichtet werden. Sind die Prozentsätze gemäss Anhang 3 zur UVV durch Leistungsansatz und Entschädigungsform mitbestimmt, so kann ihnen für die Militärversicherung keine präjudizielle Wirkung zuerkannt werden. Beizufügen bleibt, dass Verwaltung und Vorinstanz die Integritätseinbusse des Versicherten nach den für die Militärversicherung gültigen Regeln mit 65% in einer Weise bemessen haben, die nicht zu beanstanden ist.</w:t>
      </w:r>
    </w:p>
    <w:p>
      <w:r>
        <w:rPr>
          <w:b/>
        </w:rPr>
        <w:t>E. 4</w:t>
      </w:r>
    </w:p>
    <w:p>
      <w:r>
        <w:t>(Ausführungen darüber, dass sich die von Verwaltung und Vorinstanz angewendete Berechnungsgrundlage für die Integritätsrente [Fr. 15'000.--] aufgrund von BGE 112 V 376 als unzulässig erweist. Das BAMV hat den Zuschlag für die Abgeltung des Integritätsschadens nach den im erwähnten Urteil festgelegten Grundsätzen neu zu berechnen und über die in diesem Zusammenhang zu erbringenden Leistungen neu zu verfügen.)</w:t>
      </w:r>
    </w:p>
    <w:p>
      <w:r>
        <w:rPr>
          <w:b/>
        </w:rPr>
        <w:t>E. 5</w:t>
      </w:r>
    </w:p>
    <w:p>
      <w:r>
        <w:t>(Zulässigkeit des Auskaufs einer Rente nach Art. 25 Abs. 3 MVG ; Hinweis auf BGE 112 V 386 Erw. 7a.)</w:t>
      </w:r>
    </w:p>
    <w:p>
      <w:r>
        <w:rPr>
          <w:b/>
        </w:rPr>
        <w:t>E. 6</w:t>
      </w:r>
    </w:p>
    <w:p>
      <w:r>
        <w:t>a) Gegenüber einem Dritten, der mit Bezug auf die Gesundheitsschädigung oder den Tod des Versicherten schadenersatzpflichtig ist, tritt die Militärversicherung bis auf die Höhe der von ihr geschuldeten Leistungen in den Ersatzanspruch des Versicherten oder seiner Hinterlassenen ein ( Art. 49 Abs. 1 MVG ). b) Der Versicherte hat vom Haftpflichtversicherer eine Genugtuungsentschädigung von Fr. 85'000.-- erhalten. Das BAMV hat diesen Betrag von der kapitalisierten Integritätsentschädigung in Abzug gebracht und damit davon abgesehen, das in Art. 49 Abs. 1 MVG eingeräumte Rückgriffsrecht geltend zu machen. Die Vorinstanz hat dieses Vorgehen geschützt. Die Begründung lautete im wesentlichen dahin, das BAMV habe dem Versicherten vor dem Bekanntwerden des Urteils Andres ( BGE 110 V 117 ) auf Anfrage hin zuhanden des Haftpflichtversicherers mitgeteilt, dass sie keine Leistungen mit Genugtuungscharakter ausrichten werde. Dies sei in Übereinstimmung mit der damaligen Rechtspraxis erfolgt, wonach im Rahmen von Art. 25 Abs. 3 MVG lediglich der überwiegende Schaden abzugelten gewesen sei, der im vorliegenden Fall in der Erwerbsunfähigkeit bestanden habe. Die mit dem Urteil Andres begründete Praxisänderung habe ein Koordinationsproblem geschaffen, für dessen Lösung eine gesetzliche Bestimmung BGE 113 V 140 S. 146 fehle. Diese Tatsache habe das BAMV im Rahmen von Art. 25 Abs. 1 MVG , der die Bemessung der Integritätsrente in "Würdigung aller Umstände" vorschreibe, im Sinne des streitigen Abzuges berücksichtigen dürfen. Andernfalls würde Walter B. gegenüber andern Versicherten ungerechtfertigterweise bessergestellt, sofern nicht der allenfalls von der Militärversicherung regressweise belangte Haftpflichtversicherer die bereits geleistete Genugtuungssumme zurückfordern könnte, welche Möglichkeit als fraglich erscheine und überdies zu einem nicht zu rechtfertigenden Verwaltungsleerlauf führen würde. c) Die Koordinationsnorm des Art. 49 Abs. 1 MVG ist (wie auch der sachlich mit ihr übereinstimmende Art. 41 UVG ) Ausdruck des Grundsatzes der Haftungsersetzung durch Versicherungsschutz (SCHÄR, Grundzüge des Zusammenwirkens von Schadenausgleichssystemen, S. 236 N. 683). Art. 49 Abs. 1 MVG bestimmt die grundsätzliche Vorleistungspflicht der Militärversicherung als Sozialversicherer gegenüber ihrem Versicherten im Verhältnis zum haftpflichtigen Dritten (SCHÄR, a.a.O., S. 259 N. 759 zu Art. 49 MVG ). Es ist mithin der Regress des Sozialversicherers, welchen der Gesetzgeber als Mittel zur Verhinderung ungerechtfertigter Leistungskumulation positivrechtlich vorgesehen hat (SCHÄR, a.a.O., S. 231 ff.; MAURER, Schweizerisches Sozialversicherungsrecht, Bd. I, S. 383 f.). Wenn die Militärversicherung von diesem gesetzlichen Rückgriffsrecht - aus welchen Gründen auch immer - nicht Gebrauch macht, kann sie nicht auf eine Hilfskonstruktion zur Vermeidung von Überentschädigungen ausweichen, die gesetzlich nicht vorgesehen ist; sie kann sich nicht vom gesetzlich verankerten Subrogationsprinzip dispensieren. Hinzu kommt, dass die verfügte und vorinstanzlich geschützte Anrechnung der zivilrechtlichen Genugtuung auf die Integritätsentschädigung der Militärversicherung ein aus der Not der vorliegenden Umstände geborener Behelf ist, welcher keinem der anerkannten Koordinationsprinzipien und Rechtsinstitute entspricht (MAURER, Kumulation und Subrogation in der Sozial- und Privatversicherung, S. 8 ff.). Es geht hier insbesondere nicht um das in einen andern Zusammenhang gehörende Anrechnungsprinzip, welches dadurch gekennzeichnet ist, dass die Haftpflichtforderung erlischt, soweit der Sozialversicherer leistet (MAURER, Kumulation und Subrogation, S. 22 unten). Im vorliegenden Fall verhält es sich anders, indem die Militärversicherung den sozialversicherungsrechtlichen Leistungsanspruch um das Genugtuungsbetreffnis BGE 113 V 140 S. 147 kürzen will. Das ist, wie dargelegt, nach der zwingenden Regressordnung des Art. 49 Abs. 1 MVG nicht zulässig. Dass sich im Zusammenhang mit einer höchstrichterlichen Praxisänderung Koordinationsprobleme ergeben, für deren Lösung gesetzliche Grundlagen fehlen, vermag im vorliegenden Fall ein Abweichen von zwingendem Recht nicht zu rechtfertigen und ist deshalb hinzunehmen. Beizufügen bleibt, dass damit die Frage nicht entschieden ist, ob es sich bei der Genugtuungszahlung des Haftpflichtversicherers und der von der Militärversicherung zu erbringenden Integritätsentschädigung im Lichte des Art. 49 Abs. 1 MVG um sachlich gleichartige Leistungen handelt.</w:t>
      </w:r>
    </w:p>
    <w:p>
      <w:r>
        <w:rPr>
          <w:b/>
        </w:rPr>
        <w:t>E. 7</w:t>
      </w:r>
    </w:p>
    <w:p>
      <w:r>
        <w:t>a) Ist dem Versicherten Hauspflege oder ein privater Kuraufenthalt bewilligt und erwachsen ihm dabei aussergewöhnliche durch die Behandlung bedingte Kosten für Ernährung, Pflege, Unterkunft und Wartung, so gewährt ihm die Militärversicherung zu ihren sonstigen Leistungen tägliche Zulagen in angemessener Höhe ( Art. 22 MVG ). Im vorliegenden Fall ist einzig streitig, ob es zulässig ist, auf diese Leistungen die Entschädigung der Invalidenversicherung wegen leichter Hilflosigkeit anzurechnen ( Art. 36 Abs. 3 IVV ). b) Die gesetzlichen Koordinationsvorschriften für das Zusammenfallen von Leistungen der Militärversicherung und der Invalidenversicherung betreffen die Eingliederungsleistungen ( Art. 44 Abs. 1 IVG ), das Taggeld bzw. Krankengeld ( Art. 44 Abs. 2 IVG in Verbindung mit Art. 39bis Abs. 3 IVV ) und die Renten ( Art. 52 Abs. 1 MVG , Art. 9a MVV ). Anders als im Verhältnis der obligatorischen Unfallversicherung zur Invalidenversicherung ( Art. 42 IVG und Art. 39bis Abs. 1 und 2 IVV ) gibt es jedoch für das Zusammentreffen von Zulagen gemäss Art. 22 MVG und Hilflosenentschädigungen nach Art. 42 IVG keine Koordinationsnorm. Die Vorinstanz hat erkannt, dass die Militärversicherung deswegen Hilflosenentschädigungen der Invalidenversicherung nicht auf die Zulagen gemäss Art. 22 MVG anrechnen dürfe. Das BAMV vertritt demgegenüber die Auffassung, dass dem Versicherten nach einem allgemeinen Grundsatz der Sozialversicherung aus der Versicherung kein Gewinn erwachsen dürfe, weshalb die streitige Anrechnung zulässig sei; einer besondern gesetzlichen Grundlage bedürfe es daher nicht. Es beruft sich hiefür unter anderem auf SCHÄR (a.a.O., S. 154 N. 449 und 156 N. 452), der im versicherungsrechtlichen Bereicherungsverbot für die schadenausgleichenden Versicherungen, unter welche er auch die Sozialversicherungsleistungen BGE 113 V 140 S. 148 einordnet, einen gesetzesvertretenden allgemeinen Rechtsgrundsatz sieht. c) Das Eidg. Versicherungsgericht hat indes in BGE 107 V 212 Erw. 2b festgestellt, dass das Sozialversicherungsrecht des Bundes kein allgemeines Überversicherungsverbot in dem Sinne kenne, dass die Versicherungsleistungen insgesamt den eingetretenen Schaden nicht übersteigen dürfen. SCHÄR führt hiezu a.a.O., S. 156 N. 452bis zwar aus, mit dieser Aussage könne nur gemeint sein, dass im Sozialversicherungsrecht kein kodifiziertes allgemeines Überentschädigungsverbot bestehe. Denn aus den nachfolgenden Erwägungen des Entscheides müsse geschlossen werden, dass es nicht nur - allerdings bezogen auf bestimmte Kollisionsnormen - ein Überentschädigungsverbot im Sinne eines Verbots von "eigentlichen Versicherungsgewinnen" ( BGE 107 V 213 Erw. 2b) bejahe, sondern darüber hinausgehend "auch andere, als ungerechtfertigt erachtete Leistungskumulationen" ( BGE 107 V 213 Erw. 2b) beseitigt wissen will. Doch kann dieser Interpretation nicht beigepflichtet werden. Die Erwägungen des Eidg. Versicherungsgerichts in diesem Entscheid zum Begriff der Überentschädigung bzw. anderer als ungerechtfertigt erscheinender Leistungskumulationen sind eben gerade in Auslegung einer konkreten Koordinationsnorm - nämlich des Art. 43 Abs. 3 IVG - ergangen. Daher lässt sich aus diesem Urteil für die von SCHÄR vertretene Auffassung zum Überversicherungsverbot als allgemeinem Rechtsgrundsatz nichts ableiten. Es bedarf mithin einer gesetzlichen Grundlage, um das Gewinnverbot im Verhältnis aller oder bestimmter Zweige der Sozialversicherung und bezüglich aller gleichartigen Leistungen zu verwirklichen (MAURER, Kumulation und Subrogation, S. 92 ff.). Da im vorliegenden Fall bezüglich der IV-rechtlichen Hilflosenentschädigung und der Zulagen gemäss Art. 22 MVG keine einschlägige gesetzliche Norm besteht, die eine volle Kumulation verböte, erweist sich die vom BAMV verfügte Kürzung der Zulagen als gesetzwidrig. d) Das BAMV wendet schliesslich ein, dass schon eine richtige Interpretation von Art. 22 MVG die Anrechnung der IV-rechtlichen Hilflosenentschädigung erlaube, indem die Zulagen "angemessen" zu sein hätten. Auch dem kann nicht beigepflichtet werden. Der Leistungsanspruch nach Massgabe von Art. 22 MVG hängt nicht von der Bedürftigkeit des Ansprechers ab, so dass die Zulagen nicht nach Massgabe dieses Kriteriums bemessen werden dürfen. Es ist mithin auch nicht zulässig, die Zulagen unter BGE 113 V 140 S. 149 kürzungsweiser Berücksichtigung der Hilflosenentschädigung der Invalidenversicherung festzusetzen. Erweist sich die verfügte Kürzung als unzulässig, so kann dahingestellt bleiben, ob die Zulagen gemäss Art. 22 MVG und die Hilflosenentschädigung nach Art. 42 IVG als sachlich gleichartige Leistungen im Sinne der Rechtspraxis ( BGE 112 V 129 Erw. 2d) zu qualifizieren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