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13</w:t>
      </w:r>
    </w:p>
    <w:p>
      <w:r>
        <w:t>Bundesgericht (BGE), 1969-10-13, FR</w:t>
      </w:r>
    </w:p>
    <w:p>
      <w:r>
        <w:rPr>
          <w:b/>
        </w:rPr>
        <w:t xml:space="preserve">Quelle: </w:t>
      </w:r>
      <w:r>
        <w:t>https://mcp.opencaselaw.ch/entscheid/bge_BGE_113_V_13</w:t>
      </w:r>
    </w:p>
    <w:p>
      <w:r>
        <w:t>FR: ATF 113 V 13</w:t>
      </w:r>
    </w:p>
    <w:p>
      <w:r>
        <w:t>IT: DTF 113 V 13</w:t>
      </w:r>
    </w:p>
    <w:p>
      <w:pPr>
        <w:pStyle w:val="Heading2"/>
      </w:pPr>
      <w:r>
        <w:t>Regeste</w:t>
      </w:r>
    </w:p>
    <w:p>
      <w:r>
        <w:t>Regeste Art. 46 Abs. 1 AHVG, Art. 7 Abs. 2 des schweizerisch-spanischen Abkommens über Soziale Sicherheit vom 13. Oktober 1969: Einmalige Abfindung und Verwirkung. Muss die Rente in der Form einer einmaligen Abfindung ausgerichtet werden, so verliert der Berechtigte nicht den Anspruch auf jede Leistung, wenn er sein Gesuch nicht innert der Frist des Art. 46 Abs. 1 AHVG einreicht. In dieser Hinsicht ist die Rechtsprechung zur Verwirkung der einmaligen Witwenabfindung im Sinne des Art. 24 AHVG nicht anwendbar.</w:t>
      </w:r>
    </w:p>
    <w:p>
      <w:r>
        <w:t>Regeste Art. 46 al. 1 LAVS, art. 7 al. 2 de la Convention de sécurité sociale entre la Suisse et l'Espagne du 13 octobre 1969: Indemnité forfaitaire et péremption. Lorsque la rente doit être versée sous la forme d'une indemnité forfaitaire, le bénéficiaire ne perd pas son droit à toute prestation s'il présente sa demande en dehors du délai de l'art. 46 al. 1 LAVS. A cet égard, la jurisprudence relative à la péremption de l'allocation unique de veuve au sens de l'art. 24 LAVS n'est pas applicable.</w:t>
      </w:r>
    </w:p>
    <w:p>
      <w:r>
        <w:t>Regesto Art. 46 cpv. 1 LAVS, art. 7 cpv. 2 della Convenzione di sicurezza sociale fra la Svizzera e la Spagna del 13 ottobre 1969: Indennità forfetaria e perenzione. Se la rendita deve essere versata sotto forma di indennità forfetaria, il beneficiario non decade dal diritto a ogni prestazione se presenta la richiesta scaduto il termine previsto dall'art. 46 cpv. 1 LAVS. Non è applicabile la giurisprudenza concernente l'indennità unica di vedova secondo l'art. 24 LAVS.</w:t>
      </w:r>
    </w:p>
    <w:p>
      <w:pPr>
        <w:pStyle w:val="Heading2"/>
      </w:pPr>
      <w:r>
        <w:t>Erwägungen</w:t>
      </w:r>
    </w:p>
    <w:p>
      <w:r>
        <w:rPr>
          <w:b/>
        </w:rPr>
        <w:t>E. 1</w:t>
      </w:r>
    </w:p>
    <w:p>
      <w:r>
        <w:t>(La Caisse suisse de compensation a qualité pour agir selon l'art. 103 let. c OJ en liaison avec l'art. 202 RAVS.)</w:t>
      </w:r>
    </w:p>
    <w:p>
      <w:r>
        <w:rPr>
          <w:b/>
        </w:rPr>
        <w:t>E. 2</w:t>
      </w:r>
    </w:p>
    <w:p>
      <w:r>
        <w:t>a) Selon l'art. 29 al. 1 LAVS, tous les ayants droit qui ont payé des cotisations pendant une année entière au moins, ainsi que leurs survivants, peuvent prétendre une rente ordinaire. Ont notamment droit à une telle rente les veuves qui, au décès de leur conjoint, ont accompli leur 45e année et ont été mariées pendant cinq années au moins (art. 23 al. 1 let. d LAVS). Le droit à la rente de veuve prend naissance, dans ce cas, le premier jour du mois qui suit le décès du mari (art. 23 al. 3 LAVS). b) Les ressortissants espagnols ont droit aux rentes ordinaires et aux allocations pour impotents de l'assurance-vieillesse et survivants suisse aux mêmes conditions que les ressortissants suisses (art. 7 al. 1 de la convention de sécurité sociale entre la Suisse et l'Espagne du 13 octobre 1969). Toutefois, lorsque le montant de la rente ordinaire partielle que peut prétendre un ressortissant espagnol qui ne réside pas en Suisse est inférieur ou égal à dix pour cent de la rente ordinaire complète, celui-ci n'a droit qu'à une indemnité forfaitaire égale à la valeur actuelle de la rente due (art. 7 al. 2 de la convention, dans sa version modifiée par l'avenant du 11 juin 1982). BGE 113 V 13 S. 15</w:t>
      </w:r>
    </w:p>
    <w:p>
      <w:r>
        <w:rPr>
          <w:b/>
        </w:rPr>
        <w:t>E. 3</w:t>
      </w:r>
    </w:p>
    <w:p>
      <w:r>
        <w:t>a) En l'espèce, il est constant que l'intimée pouvait en principe prétendre une rente de veuve au décès de son mari, prestation qui devait toutefois être remplacée par une indemnité unique, conformément aux dispositions de la convention susmentionnée entre la Suisse et l'Espagne. Les premiers juges ont cependant estimé, après avoir constaté que le droit de l'intimée à l'indemnité litigieuse avait pris naissance le premier jour du mois qui avait suivi le décès de l'assuré (soit le 1er janvier 1977), que la demande de prestation du 5 avril 1984 était tardive. Ils se sont fondés sur l'art. 46 al. 1 LAVS, selon lequel "le droit à des rentes et allocations pour impotents arriérées s'éteint cinq ans après la fin du mois pour laquelle la prestation était due"; ils ont au surplus invoqué l'ATFA 1955 p. 110, d'où il résulte que cette disposition légale est également applicable à l'allocation unique de veuve au sens de l'art. 24 LAVS. b) Cette argumentation n'est pas pertinente. En effet, il n'existe aucune analogie entre l'allocation unique de veuve et l'indemnité dont il est ici question: dans le premier cas, l'allocation est versée à la veuve qui ne remplit pas les conditions d'obtention d'une rente de veuve (sur ces conditions, voir l'art. 23 LAVS), alors que dans la seconde hypothèse l'intéressée peut au contraire prétendre une telle rente: la règle de droit international, qui prévoit la possibilité d'un versement en capital, en lieu et place de la rente, ne constitue qu'une simple prescription d'ordre administratif, destinée à permettre une gestion plus rationnelle de l'AVS, c'est-à-dire à éviter, dans certains cas, des frais d'administration disproportionnés au montant de la rente. Aussi ne saurait-on appliquer au cas d'espèce la jurisprudence invoquée par les premiers juges. En vérité, il faut bien plutôt considérer que si le montant de la rente avait en l'occurrence été supérieur à dix pour cent de la rente ordinaire complète, l'intimée aurait eu droit à une prestation mensuelle, dans les limites du délai quinquennal de l'art. 46 al. 1 LAVS; la situation n'eût pas été différente si l'intéressée avait été domiciliée en Suisse au moment où elle a présenté sa demande de rente de veuve. Par conséquent, si l'on suivait le raisonnement des premiers juges, cela reviendrait, pratiquement, à subordonner le droit de certains ressortissants étrangers à des prestations de l'AVS à des exigences plus rigoureuses que celles qui sont imposées aux assurés pour lesquels l'éventualité d'une conversion de la rente en capital n'entre pas en ligne de compte. Or cette différence de BGE 113 V 13 S. 16 traitement ne trouve un fondement ni dans la LAVS ni dans le droit conventionnel. Pour autant, cela ne veut pas dire que la péremption quinquennale ne joue aucun rôle lorsque la rente est versée sous la forme d'une indemnité forfaitaire: comme le souligne à juste titre la recourante, les règles de calcul de l'indemnité tiennent compte des exigences de l'art. 46 al. 1 LAVS en ce sens que le bénéficiaire perd son droit à une partie de la valeur capitalisée des rentes arriérées lorsqu'il présente sa demande en dehors du délai institué par cette norme légale (voir à ce sujet les Tables des valeurs actuelles pour le calcul des indemnités forfaitaires tenant lieu de rentes, édictées par l'Office fédéral des assurances sociales, dans leur version en vigueur depuis le 1er janvier 1979). c) Vu ce qui précède, le recours de droit administratif se révèle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