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393 vom 1. Januar 1987</w:t>
      </w:r>
    </w:p>
    <w:p>
      <w:r>
        <w:t>Bundesgericht (BGE), 1987-01-01, DE</w:t>
      </w:r>
    </w:p>
    <w:p>
      <w:r>
        <w:rPr>
          <w:b/>
        </w:rPr>
        <w:t xml:space="preserve">Quelle: </w:t>
      </w:r>
      <w:r>
        <w:t>https://mcp.opencaselaw.ch/entscheid/bge_BGE_113_Ib_393</w:t>
      </w:r>
    </w:p>
    <w:p>
      <w:r>
        <w:t>FR: BGE BGE 113 Ib 393 du 1 janvier 1987</w:t>
      </w:r>
    </w:p>
    <w:p>
      <w:r>
        <w:t>IT: BGE BGE 113 Ib 393 del 1 gennaio 1987</w:t>
      </w:r>
    </w:p>
    <w:p>
      <w:pPr>
        <w:pStyle w:val="Heading2"/>
      </w:pPr>
      <w:r>
        <w:t>Regeste</w:t>
      </w:r>
    </w:p>
    <w:p>
      <w:r>
        <w:t>Regeste Betriebseinschränkungen zur Vermeidung unnötiger Immissionen; Art. 11 Abs. 2 und 3, Art. 12 Abs. 2 und Art. 16 Abs. 1 USG. Wird ein Baubewilligungs- oder ein Entscheid über Lärmschutzmassnahmen beim Bundesgericht wegen Verletzung des Bundesgesetzes über den Umweltschutz und des kantonalen Baurechts angefochten, so sind sowohl Verwaltungsgerichts- als auch staatsrechtliche Beschwerde zu erheben (E. 1). Betriebseinschränkungen zur Vermeidung unnötiger Immissionen können gegenüber bestehenden ortsfesten Anlagen direkt gestützt auf Art. 16 Abs. 1, Art. 11 Abs. 2 und 3 sowie Art. 12 Abs. 2 USG verfügt werden (E. 3). Prüfung der im einzelnen angeordneten Massnahmen (E. 6).</w:t>
      </w:r>
    </w:p>
    <w:p>
      <w:r>
        <w:t>Regeste Restrictions imposées à une exploitation en vue d'éviter des immissions superflues; art. 11 al. 2 et 3, 12 al. 2 et 16 al. 1 LPE. Celui qui entend déférer au Tribunal fédéral une décision relative à une autorisation de construire ou à des mesures de protection contre le bruit pour violation à la fois de la loi fédérale sur la protection de l'environnement et du droit cantonal des constructions doit le faire tant par la voie du recours de droit administratif que par celle du recours de droit public (consid. 1). Des restrictions d'exploitation destinées à éviter des immissions superflues peuvent être ordonnées à l'égard d'installations fixes déjà existantes par une décision fondée directement sur les art. 16 al. 1, 11 al. 2 et 3 et 12 al. 2 LPE (consid. 3). Examen des diverses mesures ordonnées en l'espèce (consid. 6).</w:t>
      </w:r>
    </w:p>
    <w:p>
      <w:r>
        <w:t>Regesto Restrizioni imposte ad un'azienda per evitare immissioni superflue; art. 11 cpv. 2 e 3, 12 cpv. 2 e 16 cpv. 1 LPA. Chi intende impugnare dinanzi al Tribunale federale una decisione relativa ad una licenza edilizia o a misure di protezione contro il rumore, per violazione della legge federale sulla protezione dell'ambiente e del diritto cantonale edilizio, deve proporre tanto ricorso di diritto amministrativo, quanto ricorso di diritto pubblico (consid. 1). Restrizioni dell'esercizio destinate ad evitare immissioni superflue possono essere ordinate, con riferimento ad impianti fissi esistenti, mediante una decisione fondata direttamente sugli art. 16 cpv. 1, 11 cpv. 2 e 3 e 12 cpv. 2 LPA (consid. 3). Esame delle diverse misure ordinate nella fattispecie (consid. 6).</w:t>
      </w:r>
    </w:p>
    <w:p>
      <w:pPr>
        <w:pStyle w:val="Heading2"/>
      </w:pPr>
      <w:r>
        <w:t>Erwägungen</w:t>
      </w:r>
    </w:p>
    <w:p>
      <w:r>
        <w:rPr>
          <w:b/>
        </w:rPr>
        <w:t>E. 1</w:t>
      </w:r>
    </w:p>
    <w:p>
      <w:r>
        <w:t>Die Beschwerdeführer haben gegen den Entscheid des Aargauer Verwaltungsgerichtes sowohl Verwaltungsgerichts- wie auch staatsrechtliche Beschwerde eingereicht. Ob diese Rechtsmittel zulässig seien, hat das Bundesgericht von Amtes wegen zu prüfen (vgl. BGE 112 V 83 E. 1, BGE 108 Ib 74 E. 1b, BGE 106 Ia 152 ). a) Das angefochtene Urteil ist einerseits in Anwendung des kantonalen Baugesetzes vom 2. Februar 1971 (BauG) erlassen worden und stützt sich andererseits auf die Vorschriften des Bundesgesetzes über den Umweltschutz vom 7. Oktober 1983 (USG). Diese bundesrechtlichen Bestimmungen dienen nicht nur als Auslegungshilfe für das kantonale Recht, ihnen kommt vielmehr - wie noch zu zeigen sein wird (vgl. E. 3) - selbständige Bedeutung zu. Der angefochtene BGE 113 Ib 393 S. 397 Entscheid ist im übrigen von der letzten kantonalen Instanz ausgegangen und kann kantonalrechtlich nur noch mit ausserordentlichen Rechtsmitteln in Frage gestellt werden. b) Gemäss Art. 97 OG in Verbindung mit Art. 5 VwVG kann die Verwaltungsgerichtsbeschwerde gegen Verfügungen gerichtet werden, die sich auf öffentliches Recht des Bundes stützen oder hätten stützen sollen ( BGE 112 Ib 165 E. 1, 237 E. 2a), sofern diese von den in Art. 98 OG genannten Vorinstanzen erlassen worden sind, keiner der in Art. 99-101 OG oder in der Spezialgesetzgebung vorgesehenen Ausschlussgründe gegeben ist und die Missachtung von Bundesrecht gerügt wird ( Art. 104 lit. a OG ). Dies gilt auch für Verfügungen, die sowohl auf kantonalem bzw. kommunalem wie auch auf Bundesrecht beruhen, falls und soweit die Verletzung von unmittelbar anwendbarem Bundesrecht in Frage steht ( BGE 112 Ib 237 ff., BGE 108 Ib 74 ff., 105 Ib 107 E. 1b und c; s. auch BGE 112 Ib 321 , 359). Der Entscheid des Aargauer Verwaltungsgerichtes ist demnach, soweit er sich auf das Umweltschutzgesetz stützt und dessen Anwendung bzw. Missachtung beanstandet worden ist, zu Recht mit Verwaltungsgerichtsbeschwerde angefochten worden, verweist doch das Umweltschutzgesetz selbst auf die allgemeinen Rechtsmittelbestimmungen des OG und des VwVG ( Art. 54 Abs. 1 USG ) und liegt keiner der Ausnahmefälle nach Art. 99-101 OG vor; insbesondere geht es hier schon deshalb nicht um eine Bau- oder Betriebsbewilligung für technische Anlagen im Sinne von Art. 99 lit. e OG , weil das Verwaltungsgericht nicht über das technische Genügen der Betriebsanlagen der Beschwerdegegnerin befunden hat (vgl. BGE 104 Ib 124 f., BGE 103 Ib 153 E. 2). An der Zulässigkeit der Verwaltungsgerichtsbeschwerde änderte auch nichts, wenn der angefochtene Entscheid im Rahmen eines Bau- oder Zweckänderungsbewilligungsverfahren selbst ergangen wäre, obwohl die raumplanerischen Entscheide - ausgenommen die Entscheide über Entschädigungen als Folge von Eigentumsbeschränkungen und über Bewilligungen im Sinne von Art. 24 des Bundesgesetzes über die Raumplanung (RPG) - nach ausdrücklicher Vorschrift von Art. 34 Abs. 3 RPG der verwaltungsgerichtlichen Überprüfung durch das Bundesgericht entzogen und nur mit staatsrechtlicher Beschwerde anfechtbar sind. Wenn der Gesetzgeber auf dem Gebiete des Umweltschutzes wie in anderen in das Baubewilligungsverfahren hineinspielenden Bereichen des Bundesrechts (Gewässerschutz-, Forstpolizei-, Natur- und Heimatschutzgesetz, Bundesgesetz über bauliche Massnahmen im Zivilschutz BGE 113 Ib 393 S. 398 usw.), den betroffenen Privaten, dem Gemeinwesen und teilweise auch gesamtschweizerischen Organisationen ein ordentliches Rechtsmittel auf Bundesebene zur Verfügung gestellt hat, so sollte die volle Rechts- und allenfalls auch Ermessenskontrolle stets stattfinden und nicht davon abhängen, ob das fragliche Gesetz in einem Verfahren nach Art. 5 oder 24 RPG , nach den anderen Bestimmungen des Raumplanungsgesetzes oder in einem nicht vom Raumplanungsgesetz geregelten Verfahren zur Anwendung komme. Die Vorschrift von Art. 34 RPG , die eine Ausnahme zur allgemeinen bundesrechtlichen Rechtsmittelordnung schafft, kann daher dem Grundsatze nach nur für die richterliche Überprüfung der Auslegung und Anwendung der raumplanerischen kantonal- und bundesrechtlichen Normen selbst, dagegen nicht für andere, unmittelbar anwendbare Bundesrechtsbestimmungen gelten. Die bereits in BGE 113 Ib 384 E. 4c aufgeworfene Frage des Verhältnisses von Art. 34 RPG zu Art. 54 f. USG ist in diesem Sinne zu beantworten. c) Der angefochtene Entscheid stützt sich wie erwähnt nicht nur auf Bundesrecht, sondern gleichzeitig auf kantonales Baurecht, insbesondere auf die Bestimmungen über die Bestandesgarantie und die Baubewilligung. Insoweit ist gemäss Art. 34 RPG in Verbindung mit Art. 84 lit. a OG die staatsrechtliche Beschwerde wegen Verletzung verfassungsmässiger Rechte gegeben. ... d) Die von den Beschwerdeführern eingereichten Rechtsmittel sind somit beide zulässig. In der Tat ist hier von einer Verzweigung des Rechtsmittelweges auszugehen: Soweit die Streitsache dem Bundesverwaltungsrecht untersteht, sind Bundesrechtsverletzungen - mit der erwähnten Ausnahme hinsichtlich des Raumplanungsrechtes - mit Verwaltungsgerichtsbeschwerde geltend zu machen; insofern dagegen die Anwendung kantonalen Rechts beanstandet wird, muss staatsrechtliche Beschwerde erhoben und kann die Verletzung verfassungsmässiger Rechte gerügt werden (vgl. BGE 105 Ib 108 f., 222 f. E. 2a). Im vorliegenden Fall sind zwei getrennte Rechtsschriften eingereicht worden, doch hätten die beiden Beschwerden auch in einer einzigen Eingabe erhoben werden können (BGE BGE 105 Ib 223 E. 2a, BGE 100 Ia 280 E. 1b).</w:t>
      </w:r>
    </w:p>
    <w:p>
      <w:r>
        <w:rPr>
          <w:b/>
        </w:rPr>
        <w:t>E. 3</w:t>
      </w:r>
    </w:p>
    <w:p>
      <w:r>
        <w:t>Das Verwaltungsgericht ist im angefochtenen Urteil von § 135 BauG ausgegangen, wonach bereits vorhandene Bauten für Industrie und Gewerbe, die nicht in einer für sie bestimmten Zone liegen, weiterbestehen und angemessen erweitert werden dürfen, wenn ihre unvermeidlichen Einwirkungen auf die Nachbarschaft nicht übermässig sind. Nach Auffassung des Verwaltungsgerichtes BGE 113 Ib 393 S. 399 ergibt sich die Bedeutung der in dieser Vorschrift enthaltenen Emissionsschranke heute in erster Linie aus dem am 1. Januar 1985 in Kraft getretenen Umweltschutzgesetz. Wenn in § 135 BauG von "unvermeidlichen" Einwirkungen die Rede sei, so heisse dies nunmehr, dass die Emissionen so weit zu begrenzen seien, als dies technisch und betrieblich möglich und wirtschaftlich tragbar sei ( Art. 11 Abs. 2 USG ). Vorbehalten blieben die besonderen Vorschriften über die Sanierungen, namentlich über die Erleichterungen im Einzelfall (Art. 16 ff. und insbesondere Art. 17 USG ), die indessen hier keine Rolle spielten. Diese Ausführungen erwecken den Eindruck, dem Bundesrecht komme lediglich die Rolle einer blossen Auslegungshilfe des kantonalen Rechts zu und es sei nicht selbständig anwendbar. Dem ist aber nicht so. Wie das Bundesgericht schon verschiedentlich festgestellt hat, sind das Bundesgesetz über den Umweltschutz und nun auch die auf den 1. April 1987 in Kraft getretene Lärmschutz-Verordnung vom 15. Dezember 1986 (LSV) mit Rücksicht auf die öffentlichen Interessen, die diese Normen wahren, auf alle Verfahren, die im Zeitpunkt ihres Inkrafttretens noch nicht abgeschlossen sind, grundsätzlich unmittelbar anwendbar ( BGE 113 Ib 62 f., 382 E. 4a, 112 Ib 42, 306 E. 12, 441 E. 7e).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(vgl. Art. 65 Abs. 2 USG ) - verschärft (HAEFELIN/HALLER, Schweizerisches Bundesstaatsrecht, S. 112; Entscheid des Obergerichtes des Kantons Schaffhausen vom 17. Dezember 1985, publ. in ZBl 88/1987 S. 87 f., Entscheid des Verwaltungsgerichtes des Kantons Zürich vom 28. Februar 1986, publ. in Baurechtsentscheide Kanton Zürich 1986 Nr. 34 S. 9). Nun hat das Aargauer Verwaltungsgericht hier in Anwendung von § 135 BauG und Art. 11 Abs. 2 USG gegenüber der Beschwerdegegnerin verfügt, welche Emissionsquellen auszuschalten und inwieweit die verbleibenden Emissionen einzuschränken seien, während es die Überprüfung der Frage, welche Immissionen auf die Nachbarliegenschaften einwirkten und ob diese noch zu dulden seien, auf einen späteren Zeitpunkt verschob. Emissionsbeschränkungen, wie sie hier das Verwaltungsgericht festgesetzt hat, hätte dieses aber allein schon gestützt auf Bundesrecht erlassen können. Nach Art. 16 Abs. 1 USG müssen Anlagen, die den Vorschriften des Umweltschutzgesetzes BGE 113 Ib 393 S. 400 nicht genügen, saniert werden. Zu diesen Vorschriften zählt auch Art. 11 Abs. 2 und 3 USG , wonach Emissionen im Rahmen der Vorsorge unabhängig von der bestehenden Umweltbelastung so weit zu begrenzen sind,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 von der Betriebsanlage der Beschwerdegegnerin unbestrittenermassen mehr Emissionen ausgingen, als nach Art. 11 USG zugelassen werden kann, konnte das Verwaltungsgericht die Betriebseinschränkungen gestützt auf die genannten bundesrechtlichen Vorschriften anordnen. Daran ändert nichts, dass hier noch nicht bekannt ist, ob die Immissionsgrenzwerte überschritten werden, und Art. 13 der heute ebenfalls anwendbaren Lärmschutz-Verordnung die Sanierungspflicht nur für jene bestehenden ortsfesten Anlagen vorsieht, welche wesentlich zur Überschreitung der Immissionsgrenzwerte beitragen. Wie bereits erwähnt, können nach Art. 12 Abs. 2 USG Emissionsbegrenzungen durch unmittelbar auf das Umweltschutzgesetz abgestützte Verfügungen erlassen werden und sind nach der Vorschrift von Art. 12 Abs. 2 USG , die im Sinne des Zweckartikels 1 des Gesetzes der Vorsorge dient, Schutzmassnahmen nicht erst zu ergreifen, wenn die Umweltbelastung schädlich oder lästig wird, sondern müssen schon sämtliche unnötigen Emissionen vermieden werden (vgl. Kommentar zum Umweltschutzgesetz, N. 15 zu Art. 11, N. 1 zu Art. 16).</w:t>
      </w:r>
    </w:p>
    <w:p>
      <w:r>
        <w:rPr>
          <w:b/>
        </w:rPr>
        <w:t>E. 6</w:t>
      </w:r>
    </w:p>
    <w:p>
      <w:r>
        <w:t>a) Die Beschwerdeführer gehen auch in ihrer Verwaltungsgerichtsbeschwerde davon aus, Standplätze, Harassenlager und Werktätigkeit im Freien seien für die Parzellen Nrn. 1673 und 3609 nie rechtskräftig bewilligt worden. Dass das Verwaltungsgericht die Parzelle Nr. 3609 zu Unrecht mit ins Verfahren einbezogen hat, wurde bereits unter E. 4 ausgeführt. Im Zusammenhang mit der Prüfung der staatsrechtlichen Beschwerde hat sich sodann ergeben, dass das Verwaltungsgericht ohne Verfassungsverletzung annehmen durfte, Fahrzeugstandplätze, Harassenlager und Werktätigkeit im Freien hätten, soweit betriebsnotwendig, als durch die bereinigende BGE 113 Ib 393 S. 401 Baubewilligung des Gemeinderates Wohlen vom 22. April 1985 bewilligt zu gelten. Für das Abstellen von Lastwagen enthält Ziffer 3 des das vorliegende Verfahren auslösenden Beschlusses des Gemeinderates Wohlen vom 27. Juni 1983 eine ausdrückliche Regelung. Danach dürfen in der Zeit zwischen 19.00 Uhr und 07.00 Uhr, samstags ab 12.00 Uhr und sonntags auf den Parzellen Nrn. 1673 und 4091 keine Lastwagen (Motorwagen über 3,5 t Gesamtgewicht) parkiert werden. Ebenso dürfen während dieser Zeit keine Lastwagen zu- und wegfahren. Das Verwaltungsgericht hat die zeitliche Regelung für erlaubte Zu- und Wegfahrten übernommen. Es hat zudem lediglich die Parkiererlaubnis für zwei Fahrzeuge, bzw. während der Mostereisaison für drei Fahrzeuge, dahingehend erweitert, dass diese auch zwischen 19.00 Uhr und 07.00 Uhr, also während 24 Stunden am Tag auf dem Betriebsareal stehengelassen werden dürfen. Gleichzeitig hat es die gemeinderätliche Anordnung aber verschärft, indem ausser den speziell aufgeführten Ausnahmen keine Nutzfahrzeuge über 3,5 t Gesamtgewicht mehr auf dem Betriebsareal stationiert werden dürfen. b) Die Beschwerdeführer machen sodann geltend, die von der Vorinstanz zugelassenen zwei bzw. drei Standplätze für Nutzfahrzeuge über 3,5 t Gesamtgewicht bewirkten Immissionen, die in einer reinen Wohnzone mit dem Immissionsgrad I (nicht störend) nicht hingenommen werden müssten. Die Beschwerdegegnerin sei auf die Standplätze nicht angewiesen. Sie könne die Lastwagen problemlos in der Gewerbezone "Rigacker" stationieren. Von dort aus könnten sie zum alten Betriebsgebäude gefahren und auf der dafür vorgesehenen Rampe be- und entladen werden. Die durch die Vorinstanz ausgesprochene Bewilligung der genannten Standplätze verletze Art. 11 Abs. 2 USG . Dasselbe gelte für das Leergut-Harassenlager von maximal 2400 Harassen sowie die unter Ziffer 1 lit. d bewilligten Tätigkeiten im Freien. Der Beschwerdegegnerin stünden genügend Leerräume innerhalb des Betriebsgebäudes zur Verfügung und zudem würden im neuen Betriebsgebäude "Rigacker" neue Lagermöglichkeiten geschaffen. Wie vorn unter E. 3 dargelegt, sind im vorliegenden Fall die Artikel 16 Abs. 1, 11 Abs. 1 und 2 und 12 USG anwendbar. Nach Art. 11 Abs. 1 USG werden Luftverunreinigungen, Lärm, Erschütterungen und Strahlen durch Massnahmen bei der Quelle begrenzt (Emissionsbegrenzungen). Dabei sind die Emissionen unabhängig von der bestehenden Umweltbelastung so weit zu begrenzen, als BGE 113 Ib 393 S. 402 dies technisch und betrieblich möglich und wirtschaftlich tragbar ist. Nach Art. 12 Abs. 1 lit. c USG können die Emissionen unter anderem auch durch den Erlass von Betriebsvorschriften eingeschränkt werden. Genau das hat aber die Vorinstanz mit ihren Anordnungen betreffend die Lastwagen-Standplätze, das Harassenlager und die Tätigkeit auf dem Betriebsareal der Beschwerdegegnerin getan. Dass die endgültige Ermittlung der Aussenlärmsituation auf später verschoben worden ist, läuft entgegen der Auffassung der Beschwerdeführer ebenfalls nicht auf eine Verletzung des Umweltschutzgesetzes hinaus. Vor dem Abschluss der Umorganisation des Betriebes der Beschwerdegegnerin können die in Zukunft zu erwartenden Immissionen nicht mit hinreichender Sicherheit bestimmt werden. Auch ist nicht abschätzbar, wie sich die bereits angeordneten Emissionsbegrenzungen auswirken werden. Das Verwaltungsgericht durfte sich deshalb in seinem Entscheid unter dem Vorbehalt, dass die verbleibenden Immissionen nach einer Übergangsfrist neu ermittelt würden, mit einer provisorischen Regelung begnügen, die - wie sich im folgenden (E. 6c) zeigt - noch etwas zu verschärfen ist. c) Im angefochtenen Urteil wird das heutige Lager von 5000-10000 Harassen und der Betrieb darum herum als für die Nachbarn klarerweise unzumutbar bezeichnet und dessen Umfang auf maximal 2400 Harasse beschränkt. Zudem wird der S. AG untersagt, auf der Parzelle Nr. 1673 irgendwelches Leergut zu sortieren. Die Lagerung der Harasse habe, soweit der Platz innerhalb des Betriebsgebäudes hiefür nicht ausreiche, ausschliesslich auf der Südostseite des Gebäudes sowie auf dem nordwestlichen Teil des "Vorplatzes" zu erfolgen. Das Eidgenössische Departement des Innern wirft in diesem Zusammenhang die Frage auf, ob nicht auch der Harassenumschlag gleich wie die Fahrzeugbewegungen auf die normalen Betriebszeiten beschränkt werden sollte. Diese Frage erscheint berechtigt. Eine entsprechende Emissionsbeschränkung erfüllt die Voraussetzungen von Art. 11 Abs. 2 USG und ist daher vom Bundesgericht anzuordnen. Das gleiche gilt auch für das Be- und Entladen der Lastwagen. Auch in diesem Punkte ist das angefochtene Urteil in dem Sinne etwas zu verschärfen, als das Be- und Entladen der Lastwagen nur während gewissen Zeiten zulässig ist. Die von den Beschwerdeführern geforderten weiteren Beschränkungen, insbesondere auch hinsichtlich der Werktätigkeit im Freien, wären dagegen zur Zeit unter den gegebenen Umständen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