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340 vom 1. Januar 1987</w:t>
      </w:r>
    </w:p>
    <w:p>
      <w:r>
        <w:t>Bundesgericht (BGE), 1987-01-01, DE</w:t>
      </w:r>
    </w:p>
    <w:p>
      <w:r>
        <w:rPr>
          <w:b/>
        </w:rPr>
        <w:t xml:space="preserve">Quelle: </w:t>
      </w:r>
      <w:r>
        <w:t>https://mcp.opencaselaw.ch/entscheid/bge_BGE_113_Ib_340</w:t>
      </w:r>
    </w:p>
    <w:p>
      <w:r>
        <w:t>FR: BGE BGE 113 Ib 340 du 1 janvier 1987</w:t>
      </w:r>
    </w:p>
    <w:p>
      <w:r>
        <w:t>IT: BGE BGE 113 Ib 340 del 1 gennaio 1987</w:t>
      </w:r>
    </w:p>
    <w:p>
      <w:pPr>
        <w:pStyle w:val="Heading2"/>
      </w:pPr>
      <w:r>
        <w:t>Regeste</w:t>
      </w:r>
    </w:p>
    <w:p>
      <w:r>
        <w:t>Regeste Rodungsbewilligung zur Erstellung eines Grundwasserwerkes in einem Wald, der sich in einem zum BLN gehörenden Gebiet befindet und der Auenvegetation im Sinne von Art. 21 NHG darstellt: Interessenabwägung nach Art. 26 FPolV. Bei der Beurteilung eines Rodungsgesuches müssen insbesondere auch die geplanten Werke und deren Auswirkungen unter dem Gesichtspunkt des Natur- und Heimatschutzes (Art. 26 Abs. 4 FPolV) gewürdigt werden. Abwägung insbesondere des Interesses an einer Revitalisierung (Überflutung) des betroffenen BLN-Gebietes gegenüber dem Interesse einer bedeutenden Region wie Bern an einer hinreichenden Wasserversorgung. Rückweisung der Sache an das EDI zur Erteilung der Rodungsbewilligung unter Vorbehalt von Bedingungen bzw. Auflagen, so dass das in Frage stehende BLN-Objekt in seiner Gesamtheit höchstens unerhebliche Beeinträchtigungen erleidet, sowie unter Vorbehalt der naturschutzrechtlichen Bewilligung gemäss Art. 22 NHG.</w:t>
      </w:r>
    </w:p>
    <w:p>
      <w:r>
        <w:t>Regeste Autorisation de défricher en vue de la construction d'une installation de pompage des eaux souterraines dans une forêt sise dans une région inscrite à l'IFP et comportant une végétation alluviale au sens de l'art. 21 LPN; confrontation des intérêts selon l'art. 26 OFor. L'examen d'une demande d'autorisation de défricher implique aussi la prise en compte, du point de vue de la protection de la nature et du paysage, des ouvrages à édifier et de leur impact (art. 26, al. 4 OFor). En particulier, confrontation de l'intérêt à une revitalisation (par submersion) du site en cause, inscrit à l'IFP, avec celui d'une région de l'importance de celle de Berne à un approvisionnement en eau suffisant. Renvoi de la cause au DFI pour qu'il octroie l'autorisation de défricher sous réserve de conditions ou de charges tendant à ce que, dans son entité, le site inscrit à l'IFP ne subisse tout au plus que des atteintes minimes, et sous réserve aussi de l'autorisation prévue à l'art. 22 LPN.</w:t>
      </w:r>
    </w:p>
    <w:p>
      <w:r>
        <w:t>Regesto Autorizzazione di dissodare per la costruzione di un'installazione di pompaggio di acque sotterranee in un bosco ubicato in un'area iscritta nell'IFP e costituito di vegetazione ripuale ai sensi dell'art. 21 LPN; ponderazione degli interessi secondo l'art. 26 OVPF. Nell'esame di una domanda di dissodamento devono essere considerati in particolare anche le opere progettate e i loro effetti sotto il profilo della protezione della natura e del paesaggio (art. 26 cpv. 4 OVPF). Ponderazione, in particolare, tra l'interesse a poter rivitalizzare (mediante sommersione) la superficie di cui trattasi, compresa nell'IFP, e l'interesse ad assicurare un sufficiente approvvigionamento idrico a una regione importante come è quella di Berna. Rinvio della causa al DFI perché accordi l'autorizzazione di dissodare, con riserva di condizioni ed oneri tendenti a garantire che la superficie iscritta nell'IFP subisca, nel suo insieme, tuttalpiù pregiudizi minimi, come pure con riserva del permesso in materia di protezione della natura previsto dall'art. 22 LPN.</w:t>
      </w:r>
    </w:p>
    <w:p>
      <w:pPr>
        <w:pStyle w:val="Heading2"/>
      </w:pPr>
      <w:r>
        <w:t>Erwägungen</w:t>
      </w:r>
    </w:p>
    <w:p>
      <w:r>
        <w:rPr>
          <w:b/>
        </w:rPr>
        <w:t>E. 3</w:t>
      </w:r>
    </w:p>
    <w:p>
      <w:r>
        <w:t>Gemäss Art. 31 Abs. 1 des Bundesgesetzes vom 11. Oktober 1902 betreffend die eidgenössische Oberaufsicht über die Forstpolizei (FPolG) soll das Waldareal der Schweiz nicht vermindert werden. Art. 24 Abs. 1 FPolV führt diesen Grundsatz dahin aus, dass das Waldareal im Hinblick auf seine Nutz-, Schutz- und Wohlfahrtsaufgaben in seinem Bestand und in seiner regionalen Verteilung zu erhalten ist. Sollen Rodungen vorgenommen werden, so bedürfen sie einer Bewilligung. Nach der Bestimmung von Art. 26 Abs. 1 FPolV , die in ständiger Rechtsprechung als gesetzeskonform anerkannt worden ist ( BGE 108 Ib 180 E. Ia mit Hinweisen), darf die Bewilligung nur erteilt werden, wenn sich hierfür ein gewichtiges, das Interesse an der Walderhaltung überwiegendes Bedürfnis nachweisen lässt (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108 Ib 174 E. 5b; BGE 104 Ib 224 E. 3). Das Erfordernis der Standortgebundenheit ist dabei nicht absolut aufzufassen, besteht doch fast immer eine gewisse Wahlmöglichkeit; indessen fallen die Gründe der Wahl eines BGE 113 Ib 340 S. 345 Standortes bei der Interessenabwägung ins Gewicht ( BGE 112 Ib 200 E. 2a mit Hinweisen). Der Rodung dürfen sodann keine polizeilichen Gründe entgegenstehen ( Art. 26 Abs. 2 FPolV ; BGE 108 Ib 172 E. 4). Auch ist dem Natur- und Heimatschutz gebührend Rechnung zu tragen ( Art. 26 Abs. 4 FPolV ; BGE 108 Ib 183 E. 5c). Diese Grundsätze gelten ebenfalls für Körperschaften des öffentlichen Rechts bzw. für öffentliche Werke (BGE vom 18. Februar 1987 i.S. EDI und SBN c. Ortsgemeinde Haag, E. 2b, in ZBl 88/1987, S. 500, und BGE 113 Ib 152 E. 3b mit weiteren Hinweisen). Dabei kann es in einem Fall wie dem vorliegenden, in dem an die Stelle der zu rodenden Waldfläche Bauwerke treten sollen, nicht genügen, die Auswirkungen der Rodung als solcher auf das Landschaftsbild zu beurteilen, tritt doch die Rodung als solche praktisch gar nie für sich allein in Erscheinung. Vielmehr müssen von der zuständigen Bewilligungsbehörde - hier also vom EDI - bei der Beurteilung eines Rodungsgesuches insbesondere auch die geplanten Werke und deren Auswirkungen unter dem Gesichtspunkt des Natur- und Heimatschutzes ( Art. 26 Abs. 4 FPolV ) gewürdigt werden ( BGE 108 Ib 177 ; 98 Ib 500 E. 8). Nur die letztgenannte der vier Voraussetzungen von Art. 26 FPolV ist vom EDI als nicht gegeben erachtet worden; die Voraussetzungen gemäss Art. 26 Abs. 1-3 FPolV sind unbestrittenermassen erfüllt. Im Rahmen der umfassenden Interessenabwägung nach Art. 26 FPolV ist nachfolgend also einzig zu prüfen, ob das Rodungsgesuch auch dem Natur- und Heimatschutz gebührend Rechnung trägt, wie dies von Art. 26 Abs. 4 FPolV verlangt wird.</w:t>
      </w:r>
    </w:p>
    <w:p>
      <w:r>
        <w:rPr>
          <w:b/>
        </w:rPr>
        <w:t>E. 4</w:t>
      </w:r>
    </w:p>
    <w:p>
      <w:r>
        <w:t>a) Die Beschwerdeführerin rügt zunächst, das EDI habe den Sachverhalt unrichtig und unvollständig festgestellt. Es habe zu Unrecht angenommen, das geplante Wasserfassungswerk könne so angepasst werden, dass es sich mit einer Überflutung (Revitalisierung) des Auenwaldes Belp vertrage. Die am Augenschein getroffenen Abklärungen ergaben, dass ein vernünftig ausgestaltetes Wasserfassungsnetz in der Belp-Au sich - entgegen der vom EDI getroffenen Annahme - mit einer Revitalisierung des gesamten Auengebietes nicht vertragen kann. Eine Öffnung des Dammes käme grundsätzlich nur auf der Höhe des "Entengülls" in Frage. Gestützt darauf kam Geologe Dr. Ch. Haefeli zum Schluss, es könnten oberhalb dieser Stelle BGE 113 Ib 340 S. 346 noch vier Brunnen (mit den auf den massgebenden Plänen bezeichneten Standorten R, S, T und U) errichtet werden. Es hat sich gezeigt, dass nur die Brunnen R und S mit einer maximalen Fördermenge zwischen 12000 und 16000 l/min unbedenklich sind. Die beiden weiter südlich liegenden Brunnen T und U kommen jedoch aus verschiedenen Gründen nicht in Betracht. Weil die Aare im Sommer eine Temperatur bis ca. 20 Grad erreichen kann, würde das dort - also bei T und U - gefasste Wasser bis ca. 18 Grad warm, da sich pro 40 m Flussabstand eine Temperaturabsenkung von erfahrungsgemäss 1 bis 2 Grad ergibt. Das Schweizerische Lebensmittelbuch, das gemäss Bundesratsbeschluss vom 14. Dezember 1964 (SR 817.021. 1) Verordnungscharakter hat, bezeichnet jedoch die Idealtemperatur für Trinkwasser auf 8 bis 12 Grad, keinesfalls sollte das Trinkwasser bei seiner Fassung eine Temperatur von 15 Grad übersteigen, weil bei höheren Temperaturen die Gefahr nachträglicher Aufkeimung des Wassers in erheblichem Ausmass besteht. Da bei den Brunnen R und S im Sommer eine Temperatur von minimal 15 Grad zu erwarten ist, kann das Wasser der vier erwähnten Brunnen auch nicht durch Mischung auf eine tiefere Temperatur gesenkt werden. Kommen die beiden oberen Brunnen aber somit nicht in Betracht, so kann eine Wasserfassung von 25000 l/min nicht erreicht werden. Dazu kommt, dass auch die beiden unteren (nördlichen) Brunnen kaum in Frage kommen. Bei einer Öffnung des Aaredamms beim "Entengüll" besteht nämlich - wie am Augenschein festgestellt werden konnte - wegen des im betreffenden Gebiet sehr kleinen Gefälles die Gefahr einer Rückflutung und damit einer Verschmutzung der Brunnen. Demnach ist festzustellen, dass eine Revitalisierung - jedenfalls eine solche des gesamten Auenwaldgebietes - und eine Wasserentnahme von 25000 l/min sich gegenseitig ausschliessen, zumal die Brunnen infolge des Belpberges nicht mehr weiter südlich verschoben werden können. b) Die Beschwerdeführerin rügt sodann, die Vorinstanz habe bei der Sachverhaltsfeststellung übersehen, dass kaum kommunale und kantonale Bewilligungen für eine Dammöffnung zu Revitalisierungszwecken erhältlich gemacht werden könnten. Das EDI habe auch nicht berücksichtigt, dass eine Dammöffnung als unabdingbare Voraussetzung für eine Revitalisierung der Belp-Au eine ganze Anzahl von Objekten gefährden würde. Am Augenschein wurde in der Tat festgestellt, dass von seiten des Kantons und der Gemeinden eine starke Abneigung gegen eine Dammöffnung besteht. BGE 113 Ib 340 S. 347 Kanton und Gemeinden befürchten, dass bei einer Dammöffnung der schon mehr als 100 Jahre verfolgte tatkräftige Schutz vor Hochwasser illusorisch gemacht würde. Gemäss einem schriftlichen Bericht des Kantonsingenieurs vom 19. Dezember 1986 wäre bei einer uneingeschränkten Revitalisierung im betreffenden Gebiet auf einer Länge von 6,5 km mit nicht absehbaren Gefährdungen und Beeinträchtigungen zu rechnen. Die Richtigkeit dieser Feststellung bestätigte sich am Augenschein. Vor allem würden die Staatsstrasse Münsingen-Belp, das Restaurant Campagna, verschiedene landwirtschaftliche Siedlungen beim Weiler "Viehweide" und allenfalls sogar Teile des Flughafens Belpmoos gefährdet. Die Gefährdung würde insbesondere auch Land betreffen, welches der Kanton Bern zur Sicherstellung der Fruchtfolgeflächen benötigt. Wollten die Gefährdungen auch nur einigermassen in Schranken gehalten werden, müsste ein neuer Damm weiter westlich mit immensen Kosten errichtet werden. Alle diese Umstände zeigen, dass aus tatsächlichen und politischen Gründen in absehbarer Zeit kaum mit einer Dammöffnung zwecks einer Revitalisierung der Belp-Au gerechnet werden kann. c) Die Beschwerdeführerin rügt ferner Art. 6 NHG als verletzt und macht geltend, diese Bestimmung habe nur die ungeschmälerte Erhaltung, nicht aber eine Verbesserung des bestehenden Zustandes im Auge. Die Revitalisierung der Belp-Au durch Dammöffnung sei nun aber nicht nur ungeschmälerte Erhaltung, handle es sich doch bei dieser Au heute nicht mehr um eine ursprüngliche Au, sondern bloss noch um einen ausgetrockneten Auenwald. Diese Einwendungen sind nicht stichhaltig. Auch wenn die Belp-Au schon seit einiger Zeit nicht mehr periodisch natürlich überflutet wird, handelt es sich hier - wie die am Augenschein getroffenen Abklärungen ergaben - um einen von einzelnen Bachläufen und kleinen Gewässern durchzogenen Wald, der auf Schotter steht und von dem im Einzugsgebiet des Aarelaufes befindlichen Grundwasser und damit von dessen Schwankungsbereich abhängig ist. Entsprechend handelt es sich dabei auch heute noch um eine eigentliche Auenvegetation. Als solche geniesst sie den Schutz der Bestimmungen gemäss Art. 18 Abs. 1bis und 1ter sowie Art. 21 NHG (in der am 1. Januar 1985 mit dem Umweltschutzgesetz - USG - in Kraft getretenen Fassung des Gesetzes vom 7. Oktober 1983). Dies geht denn auch aus dem Gutachten der ENHK vom 9. Mai 1985 hervor. Ohnehin ist der fragliche Wald BGE 113 Ib 340 S. 348 aber bereits als solcher, ohne Rücksicht auf Zustand, Wert und Funktion, schützenswert (s. BGE vom 18. Februar 1987 i.S. EDI und SBN c. Ortsgemeinde Haag, E. 3b, in ZBl 88/1987, S. 501) und nach den bereits erwähnten massgebenden forstrechtlichen Bestimmungen grundsätzlich ungeschmälert zu erhalten bzw. grösstmöglich zu schonen. An sich könnte zum Ausgleich einer Rodung - selbst über Art. 6 NHG (s. hiezu auch nachf. E. 5) hinausgehend - eine Revitalisierung verlangt werden, wobei hier, zumal ein auch nur einigermassen konkretes Projekt hiezu fehlt, offenbleiben kann, in welcher Form und in welchem Ausmass eine solche vorzunehmen wäre; mit den Bestimmungen gemäss Art. 18 Abs. 1bis und 1ter NHG (in der Fassung des Gesetzes vom 7. Oktober 1983) wäre jedenfalls eine ausreichende Rechtsgrundlage dafür vorhanden. Allerdings ist festzustellen, dass die Revitalisierungsmöglichkeit nur eines der verschiedenen Elemente darstellt, die es im Rahmen der gemäss Art. 26 FPolV vorzunehmenden umfassenden Interessenabwägung zu beachten gilt. Dabei ist auch zu berücksichtigen, dass die Belp-Au laut den Studien der Bürogemeinschaft für angewandte Ökologie nicht an erster Stelle unter den Gebieten steht, die sich für eine Überflutung eignen. Überdies wird in der erwähnten Studie ausdrücklich darauf hingewiesen, dass das Gebiet heute verschiedene ebenfalls für den Naturschutz wertvolle Objekte enthält, die bei einer Überflutung zerstört würden. Somit sprechen zumindest teilweise auch Grunde des Naturschutzes gegen eine Überflutung zwecks Revitalisierung der Belp-Au. Hinzu kommt, dass unter den gegebenen Umständen in einigermassen absehbarer Zeit nicht mit einer Dammöffnung zum Zwecke einer Revitalisierung des betreffenden Gebietes gerechnet werden kann, da eine solche - wie erwähnt - sowohl von seiten des Kantons als auch von seiten der Gemeinden abgelehnt wird und da - wie am Augenschein deutlich zu Tage getreten ist - heute erst sehr unbestimmte Vorstellungen einer Revitalisierung bestehen, die sich noch lange nicht zu einem provisorischen Vorprojekt verdichtet haben. Angesichts der Komplexität der sich bei einer Revitalisierung stellenden Probleme dürfte es ohne weiteres 20 Jahre oder sogar noch länger dauern, bis eine projektreife Vorlage dafür bestehen dürfte. Dabei ist in Betracht zu ziehen, dass der Beschwerdeführerin keine zeitlich unbefristete Konzession erteilt worden ist, sondern dass diese auf höchstens 40 Jahre beschränkt ist. Gesetzliche Bestimmungen zwingen die Beschwerdeführerin BGE 113 Ib 340 S. 349 ferner dazu, die Kosten der projektierten Anlage in der Höhe von ca. Fr. 35 Mio. innert 20 Jahren zu amortisieren.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