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34 vom 1. Januar 1987</w:t>
      </w:r>
    </w:p>
    <w:p>
      <w:r>
        <w:t>Bundesgericht (BGE), 1987-01-01, DE</w:t>
      </w:r>
    </w:p>
    <w:p>
      <w:r>
        <w:rPr>
          <w:b/>
        </w:rPr>
        <w:t xml:space="preserve">Quelle: </w:t>
      </w:r>
      <w:r>
        <w:t>https://mcp.opencaselaw.ch/entscheid/bge_BGE_113_Ib_34</w:t>
      </w:r>
    </w:p>
    <w:p>
      <w:r>
        <w:t>FR: BGE BGE 113 Ib 34 du 1 janvier 1987</w:t>
      </w:r>
    </w:p>
    <w:p>
      <w:r>
        <w:t>IT: BGE BGE 113 Ib 34 del 1 gennaio 1987</w:t>
      </w:r>
    </w:p>
    <w:p>
      <w:pPr>
        <w:pStyle w:val="Heading2"/>
      </w:pPr>
      <w:r>
        <w:t>Regeste</w:t>
      </w:r>
    </w:p>
    <w:p>
      <w:r>
        <w:t>Regeste Art. 5 und 41 EntG; nachträgliche Entschädigungsforderung für die Enteignung von Nachbarrechten. Zu den Nachbarrechten, die nach Art. 5 EntG Gegenstand der Enteignung sein können, gehört auch der Anspruch auf Unterlassung von schädlichen Grabungen und Bauten im Sinne von Art. 685 ZGB. Die Frage, ob zwischen dem Schaden und den Grabungen ein Kausalzusammenhang bestehe, ist vom Enteignungsrichter zu beurteilen (E. 2). Wird eine nachträgliche Entschädigungsforderung gemäss Art. 41 Abs. 1 EntG zwar rechtzeitig (Art. 41 Abs. 2), aber irrtümlich nicht beim Präsidenten der Schätzungskommission, sondern bei den SBB als Enteignerinnen, d.h. bei einer "unzuständigen Behörde" im Sinne von Art. 21 Abs. 2 VwVG angemeldet, so gilt die Frist als gewahrt (E. 3).</w:t>
      </w:r>
    </w:p>
    <w:p>
      <w:r>
        <w:t>Regeste Art. 5 et 41 LEx; demande d'indemnité pour expropriation de droits de voisinage formée postérieurement à l'expiration du délai de production. Le droit de s'opposer aux fouilles et aux constructions dommageables au sens de l'art. 685 CC fait partie des droits de voisinage qui peuvent être l'objet d'une expropriation d'après l'art. 5 LEx. La question de l'existence d'un rapport de causalité entre les fouilles et le dommage doit être tranchée par le juge de l'expropriation (consid. 2). Lorsqu'une demande d'indemnité au sens de l'art. 41 al. 1 LEx est annoncée en temps utile (art. 41 al. 2 LEx), non pas au Président de la Commission d'estimation, mais par erreur auprès des CFF, en l'espèce expropriants, le délai est réputé observé puisque les CFF sont une autorité incompétente au sens de l'art. 21 al. 2 PA (consid. 3).</w:t>
      </w:r>
    </w:p>
    <w:p>
      <w:r>
        <w:t>Regesto Art. 5 e 41 LEspr; domanda d'indennità per espropriazione di diritti di vicinato, presentata dopo trascorso il termine per le notificazioni. Il diritto di opporsi agli scavi e alle costruzioni dannosi ai sensi dell'art. 685 CC fa parte dei diritti di vicinato che possono formare l'oggetto di un'espropriazione secondo l'art. 5 LEspr. La questione se sussista un rapporto di causalità tra gli scavi e il danno va risolta dal giudice competente per l'espropriazione (consid. 2). Ove una domanda d'indennità ai sensi dell'art. 41 cpv. 1 LEspr sia presentata in tempo utile (art. 41 cpv. 2 LEspr), ma non al Presidente della Commissione di stima, bensì erroneamente alle FFS - nella fattispecie esproprianti -, il termine è reputato osservato, dato che le FFS sono un'autorità incompetente ai sensi dell'art. 21 cpv. 2 PA (consid. 3).</w:t>
      </w:r>
    </w:p>
    <w:p>
      <w:pPr>
        <w:pStyle w:val="Heading2"/>
      </w:pPr>
      <w:r>
        <w:t>Erwägungen</w:t>
      </w:r>
    </w:p>
    <w:p>
      <w:r>
        <w:rPr>
          <w:b/>
        </w:rPr>
        <w:t>E. 2</w:t>
      </w:r>
    </w:p>
    <w:p>
      <w:r>
        <w:t>Die Siedlungsgenossenschaft Sunnige Hof hat in ihren Eingaben stets geltend gemacht, infolge der für den Bau der S-Bahn-Linie unternommenen Abgrabungen und Aufschüttungen auf den Nachbarparzellen habe sich ihr Grundstück gesenkt und seien an einigen Häusern Schäden entstanden, welche von den SBB zu vergüten seien. Entgegen der Meinung der SBB hat sich die Genossenschaft mit ihrer Entschädigungsforderung zu Recht an den Präsidenten der Schätzungskommission gewandt. Die sachliche Zuständigkeit der Eidgenössischen Schätzungskommission ist dann gegeben, wenn durch ein mit dem Enteignungsrecht ausgestattetes oder noch auszustattendes Unternehmen Rechte entzogen oder beschränkt werden, die nach Bundesrecht Enteignungsobjekte bilden ( BGE 106 Ib 235 E. 3). Gemäss Art. 5 EntG können neben anderen dinglichen Rechten auch die aus dem Grundeigentum hervorgehenden Nachbarrechte Gegenstand der Enteignung sein. Darunter sind insbesondere die Ansprüche des BGE 113 Ib 34 S. 37 Grundeigentümers auf Unterlassung übermässiger Einwirkungen zu verstehen, und zwar nicht nur der Anspruch auf Unterlassung von schädlichen Immissionen im Sinne von Art. 684 Abs. 2 ZGB , sondern auch jener auf Unterlassung von Grabungen und Bauten, die das nachbarliche Grundstück dadurch schädigen, dass Erdreich in Bewegung gebracht oder gefährdet oder vorhandene Vorrichtungen beeinträchtigt werden ( Art. 685 ZGB ). Werden demnach solche Abgrabungen oder Bauten für ein Werk unternommen, für das dem Werkeigentümer das Enteignungsrecht zusteht, so kann der Geschädigte nicht zivilrechtlich auf Beseitigung der Schädigung oder Schutz gegen drohenden Schaden sowie auf Schadenersatz klagen ( Art. 679 ZGB ), sondern nur gestützt auf Art. 5 EntG auf dem Enteignungsweg eine Entschädigung verlangen (vgl. etwa BGE 107 Ib 388 E. 2a, BGE 106 Ib 244 E. 3 mit zahlreichen Verweisungen). Über den Entschädigungsanspruch entscheidet ausschliesslich der Enteignungsrichter, und zwar nicht nur über die Höhe der Entschädigung, sondern auch darüber, ob überhaupt ein Nachbarrecht verletzt worden sei ( BGE 112 Ib 178 E. 3a, 106 Ib 236 E. 3a, je mit weiteren Hinweisen). Der Grundeigentümer kann den Zivilrichter nur dann anrufen, wenn er geltend macht, die Einwirkungen seien nicht notwendige oder doch leicht vermeidbare Folge des Baues oder Betriebs des Werkes und insbesondere auf unsachgemässe Erstellung zurückzuführen ( BGE 112 Ib 177 , BGE 107 Ib 389 E. 2a, BGE 93 I 301 /2). Dementsprechend ist bei der Revision des Eisenbahngesetzes im Jahre 1957 in Art. 20 ausdrücklich festgehalten worden, dass Bahnunternehmungen für schädigende Eingriffe in fremde Rechte nach Massgabe der Bundesgesetzgebung über die Enteignung Ersatz zu leisten haben, sofern der Eingriff nicht gemäss Nachbarrecht oder anderen gesetzlichen Vorschriften geduldet werden muss und es sich nicht um eine unvermeidliche oder nicht leicht abzuwendende Folge des Baues oder Betriebes der Bahn handelt. Es ist daher unverständlich, dass im vorliegenden Fall die - von Gesetzes wegen mit dem Enteignungsrecht ausgestatteten ( Art. 3 EBG ) - SBB die enteignungsrechtliche Natur der eingereichten Entschädigungsforderung bestreiten, obschon von niemandem behauptet wird, die umstrittenen Schäden seien durch unsachgemässe Bauausführung entstanden und vermeidbar gewesen. Die von den Enteignerinnen aufgeworfene Frage des Kausalzusammenhangs zwischen Schaden und Bauarbeiten fällt mit der Frage zusammen, ob überhaupt Nachbarrechte verletzt worden seien - eine Frage, über die, wie dargelegt, der Enteignungsrichter zu entscheiden hat. BGE 113 Ib 34 S. 38 An der Zuständigkeit der Schätzungskommission vermag, wie in der angefochtenen Verfügung mit Recht ausgeführt wird, auch der von den Enteignerinnen abgeschlossene Versicherungsvertrag nichts zu ändern. Weder berührt dieser Vertrag das öffentlichrechtliche Verhältnis zwischen Enteigner und (möglichen) Enteigneten, noch könnte durch die aufgrund des Vertrages gegebene Zustimmung der Enteigneten zur zivilrechtlichen Behandlung der Entschädigungsansprüche die Kompetenz der ratione materiae unzuständigen Zivilgerichte begründet werden ( BGE 99 Ib 485 E. 2, BGE 40 II 291 ).</w:t>
      </w:r>
    </w:p>
    <w:p>
      <w:r>
        <w:rPr>
          <w:b/>
        </w:rPr>
        <w:t>E. 3</w:t>
      </w:r>
    </w:p>
    <w:p>
      <w:r>
        <w:t>Es bleibt zu prüfen, ob das von der Siedlungsgenossenschaft nachträglich eingereichte Entschädigungsbegehren als zulässig betrachtet werden durfte oder ob es, wie die Beschwerdeführerinnen geltend machen, verspätet und damit verwirkt war. Die Siedlungsgenossenschaft stellt heute nicht mehr in Abrede, dass auf dem Gebiet der Gemeinde Zürich, auf dem das umstrittene Grundstück liegt, eine öffentliche Planauflage im Sinne von Art. 30 EntG stattgefunden hat; ihr Entschädigungsanspruch untersteht daher nach Art. 41 Abs. 2 EntG der Verwirkung. Indessen wird nach bundesgerichtlicher Rechtsprechung der Beginn der Verwirkungsfrist aufgeschoben, wenn der Enteignete durch das Verhalten des Enteigners von einer rechtzeitigen Anmeldung seiner Begehren abgehalten wird, so etwa, wenn der Enteignete aufgrund von Verhandlungen mit dem Enteigner zur Annahme berechtigt ist, dieser trete auf seine Ansprüche ein ( BGE 111 Ib 284 , BGE 106 Ib 335 E. 2b, BGE 88 I 199 , BGE 83 II 98 ). Der Schätzungskommissions-Präsident hat daher im vorliegenden Fall wohl mit Recht angenommen, die sechsmonatige Verwirkungsfrist gemäss Art. 41 Abs. 1 lit. b EntG habe erst in dem Zeitpunkt zu laufen begonnen, in dem die Versicherungsgesellschaft im Namen der SBB eine Entschädigungsleistung abgelehnt hat, weil die SBB durch die Entgegennahme der Schadensmeldung die Gesuchstellerin von weiteren Schritten, insbesondere von der Anrufung des Schätzungskommissions-Präsidenten abgehalten hätten. Selbst wenn aber hier nicht von einem Aufschub des Fristbeginns ausgegangen werden könnte, wäre dennoch festzustellen, dass die Siedlungsgenossenschaft ihren Entschädigungsanspruch rechtzeitig erhoben hat. Wie die Enteignerinnen selbst erwähnen, hat die Genossenschaft erstmals mit Schreiben vom 21. November 1983, also innerhalb von sechs Monaten sogar seit Baubeginn, Schäden gemeldet und um Entschädigung ersucht. Das Gesuch ist allerdings nicht an den Präsidenten BGE 113 Ib 34 S. 39 der Schätzungskommission, sondern an die SBB selbst gerichtet worden. Gelangt aber eine Partei rechtzeitig an eine unzuständige Behörde, so gilt die Frist nach der Bestimmung von Art. 21 Abs. 2 VwVG , die gemäss Art. 2 Abs. 3 VwVG auch für das Verfahren der Schätzungskommissionen gilt, als gewahrt. Nun sind die SBB, wie das Bundesgericht in BGE 101 Ib 104 E. 2b dargelegt hat, nach Art. 1 des Bundesgesetzes vom 23. Juni 1944 über die Schweizerischen Bundesbahnen eine innerhalb der Schranken der Bundesgesetzgebung selbständige eidgenössische Verwaltung, das heisst ein autonomer eidgenössischer Betrieb im Sinne von Art. 1 Abs. 2 lit. c VwVG und gelten nach dieser Bestimmung als Behörde; sie können damit gegebenenfalls "unzuständige Behörde" im Sinne von Art. 21 Abs. 2 VwVG sein. Die sechsmonatige Frist ist daher schon durch das direkt an die SBB gerichtete Entschädigungsbegehren der Siedlungsgenossenschaft eingehalten worden. Diese hätten das Gesuch, zu deren Behandlung sie unzuständig waren, statt der Versicherungsgesellschaft dem Schätzungskommissions-Präsidenten übermitteln und ihn um einstweilige Sistierung des Verfahrens ersuchen müssen, wenn sie den Entschädigungsstreit auf gütlichem Wege erledigen wollten. Die Beschwerde der Enteignerinnen erweist sich somit als vollständig unbegründet und ist im Verfahren nach Art. 109 Abs. 1 OG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