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30 vom 1. Januar 1987</w:t>
      </w:r>
    </w:p>
    <w:p>
      <w:r>
        <w:t>Bundesgericht (BGE), 1987-01-01, FR</w:t>
      </w:r>
    </w:p>
    <w:p>
      <w:r>
        <w:rPr>
          <w:b/>
        </w:rPr>
        <w:t xml:space="preserve">Quelle: </w:t>
      </w:r>
      <w:r>
        <w:t>https://mcp.opencaselaw.ch/entscheid/bge_BGE_113_Ib_30</w:t>
      </w:r>
    </w:p>
    <w:p>
      <w:r>
        <w:t>FR: BGE BGE 113 Ib 30 du 1 janvier 1987</w:t>
      </w:r>
    </w:p>
    <w:p>
      <w:r>
        <w:t>IT: BGE BGE 113 Ib 30 del 1 gennaio 1987</w:t>
      </w:r>
    </w:p>
    <w:p>
      <w:pPr>
        <w:pStyle w:val="Heading2"/>
      </w:pPr>
      <w:r>
        <w:t>Regeste</w:t>
      </w:r>
    </w:p>
    <w:p>
      <w:r>
        <w:t>Regeste Art. 5 Abs. 2 RPG. Verzinsung der Enteignungsentschädigung; Beginn der Verzinsungspflicht. 1. Anwendungsbereich von Art. 5 Abs. 2 RPG in zeitlicher Hinsicht (E. 1). 2. Unzulässigkeit von Begehren, die über die im kant. Verfahren gestellten hinausgehen (E. 2). 3. Der betroffene Grundeigentümer hat Anspruch auf Verzinsung der Enteignungsentschädigung von dem Tag an, da er seine Absicht, Entschädigung zu verlangen, unmissverständlich zum Ausdruck gebracht hat. Ist er ohne sein Verschulden daran gehindert worden, seine Ansprüche von Anfang an geltend zu machen, so läuft die Verzinsungspflicht unter Umständen von einem früheren Zeitpunkt an (E. 3a). Die unmissverständliche Absichtsäusserung erfordert nicht zwingend eine förmliche Geltendmachung vor der zuständigen Behörde; eine schriftliche Eingabe - im konkreten Fall ein Wiedererwägungsgesuch betr. Zoneneinteilung - bei der Verwaltung genügt (E. 3b).</w:t>
      </w:r>
    </w:p>
    <w:p>
      <w:r>
        <w:t>Regeste Art. 5 al. 2 LAT. Intérêts sur indemnité pour expropriation matérielle; point de départ. 1. Champ d'application de l'art. 5 al. 2 LAT quant au temps (consid. 1). 2. Les conclusions du recourant sont irrecevables dans la mesure où elles sont plus amples que celles prises en procédure cantonale (consid. 2). 3. Le propriétaire peut réclamer des intérêts calculés depuis le jour où il a manifesté d'une manière non équivoque son intention de demander une indemnité. Il peut réclamer des intérêts calculés depuis une époque antérieure dans des cas particuliers, quand il a été empêché de faire valoir ses prétentions (consid. 3a). Une manifestation non équivoque ne suppose pas nécessairement une demande formelle devant l'autorité compétente; une interpellation écrite - en l'espèce, une demande de reconsidération de l'affectation - adressée à l'autorité exécutive est suffisante (consid. 3b).</w:t>
      </w:r>
    </w:p>
    <w:p>
      <w:r>
        <w:t>Regesto Art. 5 cpv. 2 LPT. Interessi sull'indennità per espropriazione materiale; decorso. 1. Ambito d'applicazione nel tempo dell'art. 5 cpv. 2 LPT (consid. 1). 2. Le conclusioni del ricorrente sono inammissibili nella misura in cui eccedono quelle proposte nella procedura cantonale (consid. 2). 3. Il proprietario può esigere interessi calcolati dal giorno in cui ha manifestato in modo inequivoco la sua intenzione di chiedere un'indennità. Può esigere interessi calcolati da un momento precedente in casi particolari, ove sia stato impedito di far valere le sue pretese (consid. 3a). Una manifestazione inequivoca non presuppone necessariamente una domanda formale dinanzi all'autorità competente; è sufficiente una richiesta scritta - nella fattispecie, una domanda di riesame dell'azzonamento - indirizzata all'autorità amministrativa (consid. 3b).</w:t>
      </w:r>
    </w:p>
    <w:p>
      <w:pPr>
        <w:pStyle w:val="Heading2"/>
      </w:pPr>
      <w:r>
        <w:t>Erwägungen</w:t>
      </w:r>
    </w:p>
    <w:p>
      <w:r>
        <w:rPr>
          <w:b/>
        </w:rPr>
        <w:t>E. 1</w:t>
      </w:r>
    </w:p>
    <w:p>
      <w:r>
        <w:t>A teneur de l' art. 34 al. 1 LAT , le recours de droit administratif est recevable contre les décisions prises en dernière instance cantonale et fondées sur l' art. 5 al. 2 LAT . Cette disposition concerne l'indemnisation consécutive à des restrictions apportées au droit de propriété par des mesures d'aménagement du territoire. Elle est applicable non seulement aux suites des mesures d'aménagement prises en application de la loi fédérale sur l'aménagement du territoire, c'est-à-dire prises postérieurement à l'entrée en vigueur de cette loi, mais aussi aux suites pécuniaires de mesures d'aménagement antérieures ( ATF 107 Ib 229 , 382). La loi neuchâteloise du 30 juin 1976 sur la viticulture (ci-après LV) a introduit une zone viticole en principe inconstructible (art. 7), ce qui est à l'évidence une mesure d'aménagement. L'arrêt déféré a pour fondement une restriction à la propriété engendrée par cette loi. Il porte donc sur une prétention régie, du point de vue matériel, par l' art. 5 al. 2 LAT . Il en résulte qu'il est susceptible de faire l'objet d'un recours de droit administratif.</w:t>
      </w:r>
    </w:p>
    <w:p>
      <w:r>
        <w:rPr>
          <w:b/>
        </w:rPr>
        <w:t>E. 2</w:t>
      </w:r>
    </w:p>
    <w:p>
      <w:r>
        <w:t>Le canton de Neuchâtel recourt pour sauvegarder son intérêt patrimonial. A ce titre, il a qualité pour recourir selon l' art. 103 lettre a OJ ( ATF 110 Ib 197 , 305; ATF 105 Ib 359 consid. 5a). Il a en outre qualité pour recourir à raison des art. 103 lettre c OJ et 34 al. 2 LAT. Mais comme l'invoquent les intimés, le recourant ne peut pas prendre devant le Tribunal fédéral des conclusions plus amples qu'en procédure cantonale ( ATF 108 Ib 93 consid. bb). Ses BGE 113 Ib 30 S. 33 conclusions sont donc irrecevables dans la mesure où elles portent sur les intérêts courus du 21 mai 1981 au 18 mai 1982.</w:t>
      </w:r>
    </w:p>
    <w:p>
      <w:r>
        <w:rPr>
          <w:b/>
        </w:rPr>
        <w:t>E. 3</w:t>
      </w:r>
    </w:p>
    <w:p>
      <w:r>
        <w:t>a) L'indemnité pour expropriation matérielle comprend un montant en capital qui doit être calculé en fonction de l'état de fait existant au moment de l'entrée en vigueur de la restriction du droit de propriété ( ATF 111 Ib 83 consid. b). En l'espèce, le montant arrêté par la Commission d'estimation n'est pas contesté. L'indemnité comprend en outre des intérêts qui doivent être calculés à partir du jour où le propriétaire a fait des démarches non équivoques tendant à obtenir une indemnisation; dans des cas particuliers, quand il a été empêché sans faute de sa part de faire valoir ses prétentions, il a le droit de réclamer des intérêts calculés depuis une époque antérieure ( ATF 111 Ib 83 consid. b). b) Le Tribunal administratif a considéré à tort que les intimés étaient empêchés de réclamer une indemnité avant le 25 novembre 1981. Il s'agit de la date où le Tribunal fédéral a rejeté leur recours de droit public contre la décision du Conseil d'Etat du 22 avril 1981, laquelle rejetait leur demande de reconsidération relative au classement du terrain. Comme le soutient le recourant, il était loisible aux propriétaires d'introduire simultanément deux procédures, l'une tendant à obtenir la levée de la restriction de leur droit de propriété, l'autre tendant à l'indemnisation des suites de cette restriction. Et de fait, les intimés ont manifesté de manière non équivoque leur intention d'obtenir une indemnité dans l'écriture même où ils demandaient la reconsidération du classement. A cet égard, une manifestation non équivoque ne suppose pas nécessairement une demande formelle devant l'autorité compétente; une interpellation écrite adressée à l'autorité exécutive est suffisante. La demande de reconsidération, datée du 9 mai 1977, exprimait aussi une interpellation de ce genre. C'est donc à partir de cette date que les intimés peuvent réclamer, à raison des art. 22ter al. 3 Cst. et 5 al. 2 LAT, des intérêts sur le capital qui leur est dû. c) A défaut de disposition leur accordant des prétentions plus étendues, les intimés ne peuvent réclamer aucun intérêt pour le temps antérieur au 9 mai 1977. Le Tribunal administratif a considéré que les intérêts doivent être accordés dès l'entrée en vigueur de la restriction, en l'espèce dès le 17 août 1976, parce que les propriétaires ont manifesté leur intention de réclamer une indemnité dans un délai raisonnable. Il compte ce délai depuis l'entrée en vigueur et l'arrête à une année. Son point de vue ne saurait être suivi; il n'est pas admissible que la collectivité publique soit chargée BGE 113 Ib 30 S. 34 de frais qui ne sont pas strictement nécessaires à la juste indemnisation des propriétaires, car ce mode de faire compromettrait la réalisation des mesures d'aménagement exigées par la législation fédérale ( ATF 109 Ib 115 ; voir aussi ATF 110 Ib 31 consid. 3; ROUILLER, considérations sur la garantie de la propriété et sur l'expropriation matérielle, faites à partir de la jurisprudence du Tribunal fédéral, RJB 121/1985 p. 13/14). En conséquence, l'arrêt attaqué doit être réformé dans la mesure où il a fixé le départ des intérêts antérieurement au 9 mai 1977.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