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368 vom 1. Januar 1987</w:t>
      </w:r>
    </w:p>
    <w:p>
      <w:r>
        <w:t>Bundesgericht (BGE), 1987-01-01, IT</w:t>
      </w:r>
    </w:p>
    <w:p>
      <w:r>
        <w:rPr>
          <w:b/>
        </w:rPr>
        <w:t xml:space="preserve">Quelle: </w:t>
      </w:r>
      <w:r>
        <w:t>https://mcp.opencaselaw.ch/entscheid/bge_BGE_113_Ia_368</w:t>
      </w:r>
    </w:p>
    <w:p>
      <w:r>
        <w:t>FR: BGE BGE 113 Ia 368 du 1 janvier 1987</w:t>
      </w:r>
    </w:p>
    <w:p>
      <w:r>
        <w:t>IT: BGE BGE 113 Ia 368 del 1 gennaio 1987</w:t>
      </w:r>
    </w:p>
    <w:p>
      <w:pPr>
        <w:pStyle w:val="Heading2"/>
      </w:pPr>
      <w:r>
        <w:t>Regeste</w:t>
      </w:r>
    </w:p>
    <w:p>
      <w:r>
        <w:t>Regeste Unterschutzstellung einer archeologischen Sammlung: Entschädigung für materielle Enteignung (Art. 4 und 22ter BV). 1. Zulässigkeit der staatsrechtlichen Beschwerde gegen einen Entscheid der letzten kant. Instanz über die Entschädigung für materielle Enteignung beweglicher Sachen (E. 1). 2. a) Inhalt und Zweck der Tessiner Gesetzesbestimmungen, soweit sie bewegliche Sachen im gleichen Masse wie historische Monumente und Kunstdenkmäler schützt (E. 3a). b) Vereinbarkeit einer solchen Regelung mit Art. 22ter BV (E. 3b). c) Besonderheit der Tessiner Gesetzgebung in diesem Bereich gegenüber der Regelung aller übrigen Kantone (E. 3d). 3. Grundsätzliche Anwendbarkeit der von der Rechtsprechung als massgeblich erklärten Kriterien im Bereich der materiellen Enteignung von Grundstücken auf die Enteignung beweglicher Sachen (E. 4). 4. Die Pflicht zur Einholung einer Bewilligung für die Verlegung eines Gegenstandes der Antike innerhalb des Kantonsgebiets stellt keine schwere Beschränkung des Eigentums an beweglichen Sachen dar, ebensowenig das Verbot, den Gegenstand zu verändern, selbst wenn die Arbeiten nur seiner Erhaltung oder Restaurierung dienen; hingegen können die Verpflichtung, Arbeiten zur Erhaltung des Gutes ausführen zu lassen, und das generelle Verbot der Ausfuhr aus dem Kantonsgebiet eine schwere Beeinträchtigung bewirken (E. 5). 5. Eine weniger schwere Beeinträchtigung des Eigentums an beweglichem Gut kann ebenfalls eine materielle Enteignung bewirken, wenn sie nur einen einzigen oder eine beschränkte Anzahl Eigentümer trifft; Anwendung im konkreten Fall (E. 6).</w:t>
      </w:r>
    </w:p>
    <w:p>
      <w:r>
        <w:t>Regeste Découvertes archéologiques traitées comme monument historique: indemnité pour expropriation matérielle (art. 4 et 22ter Cst.). 1. Recevabilité du recours de droit public contre une décision de dernière instance cantonale relative à l'indemnisation pour l'expropriation matérielle de choses mobilières (consid. 1). 2. a) Teneur et but de la législation tessinoise en tant qu'elle prévoit la même protection pour les biens mobiliers que pour les monuments historiques et artistiques (consid. 3a). b) Compatibilité d'une telle réglementation avec l'art. 22ter al. 3 Cst. (consid. 3b). c) Particularité de cette législation tessinoise par rapport à celle de tous les autres cantons (consid. 3d). 3. Application de principe des critères définis par la jurisprudence pour l'expropriation matérielle des immeubles au cas où le différend porte sur des choses mobilières (consid. 4). 4. Ne constitue pas une restriction grave de la propriété mobilière l'obligation d'obtenir une autorisation pour déplacer une antiquité à l'intérieur du territoire cantonal, non plus que l'interdiction de modifier un tel objet même à seule fin de l'entretenir ou de le restaurer; en revanche, une restriction grave peut résulter de l'obligation d'exécuter des travaux destinés à la conservation de la chose, ainsi que de l'interdiction absolue d'exportation hors du territoire cantonal (consid. 5). 5. Une atteinte de moindre importance à la propriété mobilière peut aussi constituer une expropriation matérielle si elle touche un seul ou un nombre restreint de propriétaires; situation en l'espèce (consid. 6).</w:t>
      </w:r>
    </w:p>
    <w:p>
      <w:r>
        <w:t>Regesto Vincolo di monumento storico imposto a reperti archeologici: indennità per espropriazione materiale (art. 4 e 22ter Cost.). 1. Ammissibilità del ricorso di diritto pubblico volto contro una decisione dell'ultima autorità cantonale in materia di indennizzo per l'espropriazione materiale di oggetti mobili (consid. 1). 2. a) Contenuto e finalità della legislazione ticinese nella misura in cui protegge beni mobili alla stregua di monumenti storici e artistici (consid. 3a). b) Compatibilità di tale regolamentazione con l'art. 22ter cpv. 3 Cost. (consid. 3b). c) Peculiarità della normativa ticinese rispetto all'ordinamento di tutti gli altri Cantoni (consid. 3d). 3. Applicabilità di principio dei criteri istituiti dalla giurisprudenza in tema di espropriazione materiale di fondi nel caso in cui la controversia riguardi cose mobili (consid. 4). 4. Non costituisce una restrizione grave della proprietà mobiliare l'obbligo di ottenere un'autorizzazione per trasferire un oggetto di antichità rimanendo all'interno del territorio cantonale, né il divieto di alterare l'oggetto sia pure a scopo di manutenzione o di restauro; possono comportare una restrizione grave, invece, l'obbligo di eseguire i lavori occorrenti a conservare il bene e il divieto assoluto di esportazione dal territorio cantonale (consid. 5). 5. Una restrizione "meno grave" della proprietà mobiliare può dar luogo ugualmente a espropriazione materiale ove colpisca uno solo o un numero ristretto di proprietari; esame della situazione concreta (consid. 6).</w:t>
      </w:r>
    </w:p>
    <w:p>
      <w:pPr>
        <w:pStyle w:val="Heading2"/>
      </w:pPr>
      <w:r>
        <w:t>Erwägungen</w:t>
      </w:r>
    </w:p>
    <w:p>
      <w:r>
        <w:rPr>
          <w:b/>
        </w:rPr>
        <w:t>E. 6</w:t>
      </w:r>
    </w:p>
    <w:p>
      <w:r>
        <w:t>L'argomentazione dei giudici cantonali non può essere condivisa neppure ove esclude i requisiti della seconda ipotesi in cui la giurisprudenza ravvisa un'espropriazione materiale, il caso cioè di una limitazione meno grave dei diritti di uno solo o di un numero circoscritto di proprietari, ma tale da esigere lo stanziamento di un'indennità per il particolare sacrificio richiesto e per il principio di uguaglianza. a) Al riguardo è bene premettere che in tema di espropriazione materiale il riferimento all'uguaglianza concerne una ripartizione o una compensazione di oneri e non può essere equiparato semplicemente al precetto di uguaglianza com'è inteso di solito nelle cause relative alla violazione dell' art. 4 Cost. (MEIER-HAYOZ, op.cit., nota 638). Abitualmente il mancato ossequio di tale precetto da parte di un'autorità cantonale non conduce alla mera elargizione di un indennizzo per il danno patito, bensì all'annullamento della norma o della decisione vera e propria; il problema del compenso si pone solo in subordine, ove la limitazione al diritto di proprietà risulti legittima. I criteri vigenti in caso di espropriazione materiale sono analoghi a quelli applicabili, per esempio, nell'eventualità di un raggruppamento terreni, ove la giurisprudenza prescrive all'autorità di vegliare a un'equilibrata ripartizione dei vantaggi e degli oneri tra i consorziati nel rispetto dell' art. 4 Cost. e del principio della compensazione reale che sgorga dall' art. 22ter Cost. ( DTF 105 Ia 326 consid. 2b e 2c). V'è da domandarsi, quindi, se l'indennità espropriativa dovuta per restrizione meno grave a uno solo o a un numero circoscritto di proprietari trovi conforto unicamente nell'art. 4 e non anche nell' art. 22ter Cost. (MÜLLER, op.cit., note 57 a 59 ad art. 22ter Cost. ). Il problema può continuare a rimanere irrisolto ( DTF 110 Ib 32 consid. 4 con rinvii), ritenuto che in ogni modo la limitazione imposta al proprietario, sebbene "meno grave", deve pur sempre essere di una certa intensità ( DTF 109 Ib 15 consid. 2; MÜLLER, loc.cit.; GRISEL, op.cit., vol. II, pag. 774; KUTTLER, Materielle Enteignung aus der Sicht des Bundesgerichts, in: ZBl 88/1987 pag. 192 segg.; AEMISEGGER, Raumplanung und Entschädigungspflicht, Schweizerische Vereinigung für Landesplanung, Schriftenreihe Nr. 36, Berna 1983, pag. 66; AUBERT, Traité de droit constitutionnel suisse, vol. 2, pag. 768 n. 2198). b) L'ultima giurisdizione cantonale ha evocato, per negare l'esistenza di un sacrificio particolare, l' art. 724 CC , che assegna BGE 113 Ia 368 S. 383 in proprietà gli oggetti senza padrone di rilevante pregio scientifico - segnatamente i reperti archeologici - al Cantone nel cui territorio essi sono scoperti. Ha richiamato altresì il vecchio decreto legislativo circa gli scavi per la ricerca di oggetti archeologici, del 19 maggio 1905 (Bollettino officiale delle leggi e degli atti esecutivi del Cantone Ticino 1905, pag. 67 seg.), che precorrendo quasi la soluzione adottata dal Codice civile svizzero conferiva la proprietà dei rinvenimenti per due terzi allo Stato e per un terzo allo scopritore, "con facoltà nello Stato di far propria anche questa parte rimborsandone all'inventore il valore corrispondente" (art. 3). Ciò non basta tuttavia per escludere l'ipotesi di un'espropriazione materiale. I giudici disconoscono che le norme citate regolavano e regolano l'acquisto originario della proprietà su cose senza padrone, designando il soggetto giuridico al quale la titolarità va attribuita. È indubbio che il fatto di impedire la nascita di un diritto di proprietà non può costituire espropriazione materiale poiché quest'ultima premette appunto l'esistenza di un diritto in tal senso. Ora, i ricorrenti sono legittimi proprietari dei reperti in questione - come stabiliscono sentenze passate in giudicato - per aver acquisito i loro diritti nel secolo scorso, prima che entrassero in vigore le norme accennate. Sostenere ch'essi non meritano tutela giuridica perché sono divenuti proprietari solo in virtù della casuale epoca dei ritrovamenti archeologici significa riconoscere ai loro diritti un contenuto meno pieno di quelli che competono ai proprietari di altri oggetti mobiliari altrettanto considerevoli per la storia o l'arte del Cantone (opere pittoriche o scultoree, incunaboli, documenti storici ecc.). L'argomento della corte viola l'uguaglianza di trattamento davanti alla legge e trasgredisce l' art. 4 Cost. È opportuno soggiungere che la corte cantonale ha trascurato di accertare persino quanti sono i proprietari privati di oggetti mobili inclusi nel catalogo dei monumenti giusta l'art. 5 cpv. 3 LMS, fattore che può essere di rilievo per il giudizio. Ora, dall'elenco dei monumenti storici ed artistici del Cantone Ticino pubblicato dal Dipartimento delle pubbliche costruzioni nel 1969 e dai vari aggiornamenti si evince che - a parte gli enti ecclesiastici (Confraternite, Seminario Diocesano, Capitoli canonicali, Amministrazione apostolica e altri organismi) - il numero dei proprietari privati di beni mobili figuranti nel catalogo è ridottissimo. Tale circostanza non può semplicemente andare ignorata. BGE 113 Ia 368 S. 384</w:t>
      </w:r>
    </w:p>
    <w:p>
      <w:r>
        <w:rPr>
          <w:b/>
        </w:rPr>
        <w:t>E. 7</w:t>
      </w:r>
    </w:p>
    <w:p>
      <w:r>
        <w:t>Tutto quanto precede permette di concludere che l'impugnazione dei ricorrenti dev'essere accolta e la sentenza cantonale annullata. Il tribunale amministrativo si pronuncerà di nuovo tenendo conto dei considerandi esposti nell'attuale giudizio ( DTF 112 Ia 354 consid. 3bb).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