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185 vom 1. Januar 1987</w:t>
      </w:r>
    </w:p>
    <w:p>
      <w:r>
        <w:t>Bundesgericht (BGE), 1987-01-01, DE</w:t>
      </w:r>
    </w:p>
    <w:p>
      <w:r>
        <w:rPr>
          <w:b/>
        </w:rPr>
        <w:t xml:space="preserve">Quelle: </w:t>
      </w:r>
      <w:r>
        <w:t>https://mcp.opencaselaw.ch/entscheid/bge_BGE_113_Ia_185</w:t>
      </w:r>
    </w:p>
    <w:p>
      <w:r>
        <w:t>FR: BGE BGE 113 Ia 185 du 1 janvier 1987</w:t>
      </w:r>
    </w:p>
    <w:p>
      <w:r>
        <w:t>IT: BGE BGE 113 Ia 185 del 1 gennaio 1987</w:t>
      </w:r>
    </w:p>
    <w:p>
      <w:pPr>
        <w:pStyle w:val="Heading2"/>
      </w:pPr>
      <w:r>
        <w:t>Regeste</w:t>
      </w:r>
    </w:p>
    <w:p>
      <w:r>
        <w:t>Regeste Persönliche Freiheit, EMRK, § 67 Abs. 2 StPO/AG; Sicherheitshaft bei Verwahrung. Es verstösst weder gegen das Grundrecht der persönlichen Freiheit noch gegen die EMRK, einen Angeschuldigten in Sicherheitshaft zu belassen, wenn die Verwahrung ernstlich in Frage kommt oder bereits durch ein Urteil, das noch nicht rechtskräftig ist, angeordnet wurde.</w:t>
      </w:r>
    </w:p>
    <w:p>
      <w:r>
        <w:t>Regeste Liberté personnelle, CEDH, § 67 al. 2 CPP/AG; détention pour raisons de sécurité. Le maintien d'un inculpé en détention pour des raisons de sécurité ne viole ni le droit fondamental de la liberté personnelle ni la CEDH, lorsque l'internement de la personne en cause entre sérieusement en ligne de compte ou a déjà été ordonné par un jugement qui n'est pas encore entré en force.</w:t>
      </w:r>
    </w:p>
    <w:p>
      <w:r>
        <w:t>Regesto Libertà personale, CEDU, § 67 cpv. 2 CPP/AG; carcerazione per ragioni di sicurezza. Mantenere un imputato in carcere per ragioni di sicurezza non viola il diritto fondamentale della libertà personale né la CEDU, laddove il suo internamento entri seriamente in linea di conto o sia già stato ordinato con sentenza non ancora cresciuta in giudicato.</w:t>
      </w:r>
    </w:p>
    <w:p>
      <w:pPr>
        <w:pStyle w:val="Heading2"/>
      </w:pPr>
      <w:r>
        <w:t>Erwägungen</w:t>
      </w:r>
    </w:p>
    <w:p>
      <w:r>
        <w:rPr>
          <w:b/>
        </w:rPr>
        <w:t>E. 2</w:t>
      </w:r>
    </w:p>
    <w:p>
      <w:r>
        <w:t>b) Der Präsident der Strafabteilung des Obergerichts wies das Haftentlassungsgesuch des Beschwerdeführers vor allem gestützt auf § 67 Abs. 1 StPO ab, nach welcher Vorschrift die Anordnung oder Aufrechterhaltung der Haft zulässig ist unter anderem "zur Sicherung des Strafvollzuges nach der Beurteilung". Ferner erachtete er offenbar auch den in § 67 Abs. 1 Ziff. 1 StPO vorgesehenen Haftgrund der Fluchtgefahr als gegeben, denn er führte aus, der Beschwerdeführer könne in der Schweiz keinen festen Aufenthaltsort vorweisen, doch habe er etliche Kontakte zum Ausland. Ob Fluchtgefahr besteht, kann dahingestellt bleiben, da - wie sich im folgenden zeigen wird - jedenfalls die Hauptbegründung des Präsidenten der Strafabteilung sowohl vor der Verfassung als auch vor der EMRK standhält. Das Obergericht hat als Berufungsinstanz den Beschwerdeführer zu 21 Monaten Gefängnis verurteilt und die vom Bezirksgericht anstelle des Strafvollzuges angeordnete Verwahrung bestätigt. Der Zweck der Verwahrung im Sinne von Art. 42 StGB ist in erster Linie die Sicherung der Öffentlichkeit vor Rückfallverbrechern. Die Massnahme kann angeordnet werden, wenn ein Täter durch Strafen nicht gebessert werden kann, so dass die Gesellschaft vor ihm gesichert werden muss ( BGE 105 IV 85 E. 2b, BGE 92 IV 80 ). Mit Rücksicht auf diesen Schutz der Öffentlichkeit hat es das Bundesgericht als gerechtfertigt und mit der Verfassung vereinbar erklärt, einen Angeschuldigten in Sicherheitshaft zu belassen, wenn die Verwahrung ernstlich in Frage kommt oder bereits durch ein Urteil, das noch nicht rechtskräftig ist, angeordnet wurde BGE 113 Ia 185 S. 187 (unveröffentlichte Urteile vom 5. Juli 1982 i.S. J. und vom 30. Dezember 1971 i.S. N.). Demgemäss konnte der Präsident der Strafabteilung mit sachlichen Gründen annehmen, es würde dem Zweck der vom Bezirksgericht angeordneten und vom Obergericht bestätigten Verwahrung widersprechen, den Beschwerdeführer aus der Sicherheitshaft zu entlassen. Es bedeutete daher weder eine Verletzung der Verfassung noch einen Verstoss gegen die EMRK, wenn er das Haftentlassungsgesuch gestützt auf § 67 Abs. 2 StPO zur Sicherung des Massnahmevollzuges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