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IV 87</w:t>
      </w:r>
    </w:p>
    <w:p>
      <w:r>
        <w:t>Bundesgericht (BGE), 1987-01-01, DE</w:t>
      </w:r>
    </w:p>
    <w:p>
      <w:r>
        <w:rPr>
          <w:b/>
        </w:rPr>
        <w:t xml:space="preserve">Quelle: </w:t>
      </w:r>
      <w:r>
        <w:t>https://mcp.opencaselaw.ch/entscheid/bge_BGE_113_IV_87</w:t>
      </w:r>
    </w:p>
    <w:p>
      <w:r>
        <w:t>FR: ATF 113 IV 87</w:t>
      </w:r>
    </w:p>
    <w:p>
      <w:r>
        <w:t>IT: DTF 113 IV 87</w:t>
      </w:r>
    </w:p>
    <w:p>
      <w:pPr>
        <w:pStyle w:val="Heading2"/>
      </w:pPr>
      <w:r>
        <w:t>Regeste</w:t>
      </w:r>
    </w:p>
    <w:p>
      <w:r>
        <w:t>Regeste Art. 91 Abs. 3 SVG. Vereitelung einer Blutprobe. Wurde auf die amtliche Anordnung der Blutprobe verzichtet, fehlt es an einer objektiven Voraussetzung der Strafbarkeit.</w:t>
      </w:r>
    </w:p>
    <w:p>
      <w:r>
        <w:t>Regeste Art. 91 al. 3 LCR. Obstacle à la prise de sang. Lorsqu'il a été renoncé à la prise de sang prévue par la loi, il manque l'un des éléments objectifs de la punissabilité.</w:t>
      </w:r>
    </w:p>
    <w:p>
      <w:r>
        <w:t>Regesto Art. 91 cpv. 3 LCS. Fatto di opporsi o di sottrarsi alla prova del sangue. Ove sia stato rinunciato alla prova del sangue, manca uno degli elementi oggettivi della punibilità.</w:t>
      </w:r>
    </w:p>
    <w:p>
      <w:pPr>
        <w:pStyle w:val="Heading2"/>
      </w:pPr>
      <w:r>
        <w:t>Erwägungen</w:t>
      </w:r>
    </w:p>
    <w:p>
      <w:r>
        <w:rPr>
          <w:b/>
        </w:rPr>
        <w:t>E. 2</w:t>
      </w:r>
    </w:p>
    <w:p>
      <w:r>
        <w:t>Gemäss Art. 91 Abs. 3 SVG ist strafbar, wer sich vorsätzlich einer amtlich angeordneten Blutprobe widersetzt oder entzieht oder den Zweck der Massnahme vereitelt. Objektive Voraussetzung für die Anwendung dieser Bestimmung ist, dass eine Blutprobe amtlich angeordnet wurde oder nach den konkreten Umständen des Falles mit hoher Wahrscheinlichkeit angeordnet worden wäre. Die Voraussetzung für eine Bestrafung gemäss Art. 91 Abs. 3 SVG ist indessen nicht erfüllt, wenn auf die amtliche Anordnung einer Blutprobe verzichtet wurde, z.B. weil der Polizeibeamte BGE 113 IV 87 S. 89 dieses Beweismittel nicht für erforderlich hielt ( BGE 110 IV 94 ). Gleiches gilt auch im vorliegenden Fall, wo die vorgesetzte Dienststelle die beiden Beamten auf deren Anfrage hin ausdrücklich anwies, sie "sollen keine weiteren Massnahmen treffen, lediglich die Personalien aufnehmen, den Führerausweis zurücklegen und L. zur Verzeigung bringen". Diese Anweisung wurde von den Beamten befolgt. Gemäss den unwiderlegten Ausführungen in der Beschwerdeschrift begaben sie sich nach den erwähnten Abklärungen zur Haustüre des Beschwerdeführers zurück, warfen den von diesem zurückgelassenen Ausweis in den Briefkasten und fuhren anschliessend weg, ohne auch nur versucht zu haben, zu klingeln oder sich sonstwie bemerkbar zu machen. Damit brachten sie ihren Verzicht auf eine Blutprobe klar zum Ausdruck. Durch diesen Verzicht kam das Verfahren formell nie in jenes Stadium, in welchem die Sondernorm von Art. 91 Abs. 3 SVG eingreifen konnte ( BGE 110 IV 94 ). Fehlt es an einer objektiven Voraussetzung für eine Bestrafung im Sinne von Art. 91 Abs. 3 SVG , kommt nichts darauf an, ob der Beschwerdeführer im Moment, als er sich in sein Haus begab, mit der Anordnung einer Blutprobe gerechnet habe oder nicht. Auf die entsprechenden Ausführungen der Vorinstanz muss deshalb nicht eingetreten werden. Der Umstand, dass der Beschwerdeführer es trotz polizeilicher Aufforderung zweimal ablehnte, sich einem Atemlufttest zu unterziehen, ändert am Ergebnis nichts. Der Atemlufttest dient gemäss Art. 138 Abs. 3 VZV der Vorprobe; er ist eine (fakultative) Vorstufe bei der Feststellung der Angetrunkenheit, welche aber durch Blutprobe zu erfolgen hat ( Art. 138 Abs. 1 VZV ). Nur die amtlich angeordnete (oder anzuordnende) Blutprobe ist durch Art. 91 Abs. 3 SVG geschützt ( BGE 110 IV 94 ). Da auf eine solche verzichtet wurde, darf der Beschwerdeführer nicht im Sinne von Art. 91 Abs. 3 SVG schuldig gesprochen werden, was zur Gutheissung der Beschwerde führt.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