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47</w:t>
      </w:r>
    </w:p>
    <w:p>
      <w:r>
        <w:t>Bundesgericht (BGE), 1987-01-01, DE</w:t>
      </w:r>
    </w:p>
    <w:p>
      <w:r>
        <w:rPr>
          <w:b/>
        </w:rPr>
        <w:t xml:space="preserve">Quelle: </w:t>
      </w:r>
      <w:r>
        <w:t>https://mcp.opencaselaw.ch/entscheid/bge_BGE_113_IV_47</w:t>
      </w:r>
    </w:p>
    <w:p>
      <w:r>
        <w:t>FR: ATF 113 IV 47</w:t>
      </w:r>
    </w:p>
    <w:p>
      <w:r>
        <w:t>IT: DTF 113 IV 47</w:t>
      </w:r>
    </w:p>
    <w:p>
      <w:pPr>
        <w:pStyle w:val="Heading2"/>
      </w:pPr>
      <w:r>
        <w:t>Regeste</w:t>
      </w:r>
    </w:p>
    <w:p>
      <w:r>
        <w:t>Regeste Art. 277ter BStP. Diese Bestimmung verbietet dem kantonalen Richter nicht, einen bestimmten Strafzumessungsgrund im Rückweisungsverfahren nach teilweiser Gutheissung einer eidgenössischen Nichtigkeitsbeschwerde unter Berücksichtigung neu hinzugekommener Strafmilderungs- oder Strafminderungsgründe anders zu gewichten als im ersten Verfahren (E. 4a).</w:t>
      </w:r>
    </w:p>
    <w:p>
      <w:r>
        <w:t>Regeste Art. 277ter PPF. Cette disposition n'empêche nullement l'autorité cantonale, à laquelle la cause est renvoyée après l'admission partielle d'un pourvoi en nullité auprès du Tribunal fédéral, d'apprécier autrement que dans la décision annulée les éléments déterminants pour fixer la peine, en tenant compte de nouvelles circonstances atténuantes ou de nouveaux motifs de réduction de la peine (consid. 4a).</w:t>
      </w:r>
    </w:p>
    <w:p>
      <w:r>
        <w:t>Regesto Art. 277ter PP. Tale disposizione non impedisce all'autorità cantonale, a cui la causa è rinviata dopo l'accoglimento parziale di un ricorso per cassazione al Tribunale federale, di apprezzare in modo diverso che nella decisione annullata gli elementi determinanti per la commisurazione della pena, tenendo conto di nuove circostanze attenuanti o di nuovi motivi di diminuzione della pena (consid. 4a).</w:t>
      </w:r>
    </w:p>
    <w:p>
      <w:pPr>
        <w:pStyle w:val="Heading2"/>
      </w:pPr>
      <w:r>
        <w:t>Erwägungen</w:t>
      </w:r>
    </w:p>
    <w:p>
      <w:r>
        <w:rPr>
          <w:b/>
        </w:rPr>
        <w:t>E. 4</w:t>
      </w:r>
    </w:p>
    <w:p>
      <w:r>
        <w:t>In der eidgenössischen Nichtigkeitsbeschwerde wird sodann unter Berufung auf die Art. 11, 63, 64, 68 StGB und Art. 277ter BStP die Strafzumessung angefochten. a) Der Beschwerdeführer vermag nicht darzulegen, inwiefern die Vorinstanz im zweiten Entscheid vom 7. Februar 1986 mit ihrer rechtlichen Würdigung der teilweisen Schuldenabzahlung an die durch die Betrüge gemäss Punkt II der Anklage vom 14. Februar 1983 geschädigte Fa. Amexco Art. 63 und 64 StGB verletzt habe. Aus dem ersten Urteil des Zürcher Obergerichts vom 3. Oktober 1983 geht nicht hervor, ob und in welchem Masse die "zugunsten" des Beschwerdeführers sprechende teilweise Wiedergutmachung des Schadens strafmildernd oder strafmindernd berücksichtigt wurde; Art. 64 StGB wird jedenfalls nicht erwähnt. Art. 277ter BStP verbietet dem kantonalen Richter im übrigen nicht, einen bestimmten Strafzumessungsgrund im Rückweisungsverfahren nach teilweiser Gutheissung einer eidgenössischen Nichtigkeitsbeschwerde unter Berücksichtigung neu hinzugekommener Strafmilderungs- oder Strafminderungsgründe anders zu gewichten als im ersten Verfahren. Der Richter hat diejenige Strafe auszufällen, die ihm unter Berücksichtigung der gesamten Umstände als angemessen erscheint, und es kann daher das Gewicht eines bestimmten Strafzumessungsgrundes nicht losgelöst von den übrigen Strafzumessungsfaktoren bestimmt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