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w:t>
      </w:r>
    </w:p>
    <w:p>
      <w:r>
        <w:t>Bundesgericht (BGE), 1987-01-01, FR</w:t>
      </w:r>
    </w:p>
    <w:p>
      <w:r>
        <w:rPr>
          <w:b/>
        </w:rPr>
        <w:t xml:space="preserve">Quelle: </w:t>
      </w:r>
      <w:r>
        <w:t>https://mcp.opencaselaw.ch/entscheid/bge_BGE_113_IV_4</w:t>
      </w:r>
    </w:p>
    <w:p>
      <w:r>
        <w:t>FR: ATF 113 IV 4</w:t>
      </w:r>
    </w:p>
    <w:p>
      <w:r>
        <w:t>IT: DTF 113 IV 4</w:t>
      </w:r>
    </w:p>
    <w:p>
      <w:pPr>
        <w:pStyle w:val="Heading2"/>
      </w:pPr>
      <w:r>
        <w:t>Regeste</w:t>
      </w:r>
    </w:p>
    <w:p>
      <w:r>
        <w:t>Regeste Aussergesetzliche Rechtfertigungsgründe (siehe Art. 32 StGB). Das Verhalten eines Motorradfahrers, der als offizieller Begleiter für die Sicherheit der Teilnehmer eines Radrennens zu sorgen hat und dabei namentlich die zulässige Höchstgeschwindigkeit überschreitet, ist nicht rechtswidrig, soweit es zur Erfüllung des Auftrages geboten ist.</w:t>
      </w:r>
    </w:p>
    <w:p>
      <w:r>
        <w:t>Regeste Faits justificatifs non prévus par la loi (voir art. 32 CP). Le comportement d'un motocycliste qui commet notamment un excès de vitesse pour assurer la sécurité des participants à une course cycliste, dont il est l'accompagnateur autorisé, n'est pas illicite dans la mesure où il est justifié par les impératifs de sa mission.</w:t>
      </w:r>
    </w:p>
    <w:p>
      <w:r>
        <w:t>Regesto Fatti giustificativi non previsti dalla legge (v. art. 32 CP). Il comportamento di un motociclista che commette, in particolare, un eccesso di velocità per garantire la sicurezza dei partecipanti di una corsa ciclistica di cui è l'accompagnatore autorizzato, non è illecito nella misura in cui sia necessario per l'adempimento del suo compito.</w:t>
      </w:r>
    </w:p>
    <w:p>
      <w:pPr>
        <w:pStyle w:val="Heading2"/>
      </w:pPr>
      <w:r>
        <w:t>Erwägungen</w:t>
      </w:r>
    </w:p>
    <w:p>
      <w:r>
        <w:rPr>
          <w:b/>
        </w:rPr>
        <w:t>E. 1</w:t>
      </w:r>
    </w:p>
    <w:p>
      <w:r>
        <w:t>La cour cantonale a constaté souverainement que le recourant a circulé, à l'intérieur d'une localité, à une vitesse de 70 à 80 km/h à gauche de la ligne médiane. En agissant de la sorte, il ne s'est conformé ni à l' art. 4a al. 1 lettre a OCR (limitant à 50 km/h la vitesse maximale des véhicules automobiles dans les localités), ni à l' art. 34 al. 1 LCR prévoyant l'obligation de circuler sur la moitié droite de la route, si elle est large. Comme il n'était pas en train de dépasser ni d'éviter un obstacle, les règles de la circulation routière ne lui permettaient en tout cas pas de rouler à gauche, contrairement à ce qu'il soutient. De ce point de vue, est sans pertinence la question de savoir s'il avait conservé son droit de priorité, face à l'automobile qui l'a heurté. Il est manifeste que le recourant n'ignorait pas les règles de la circulation ainsi transgressées, si bien qu'il a agi intentionnellement, ce qu'il ne conteste d'ailleurs pas.</w:t>
      </w:r>
    </w:p>
    <w:p>
      <w:r>
        <w:rPr>
          <w:b/>
        </w:rPr>
        <w:t>E. 2</w:t>
      </w:r>
    </w:p>
    <w:p>
      <w:r>
        <w:t>Avec raison, la cour cantonale a considéré que l' art. 100 ch. 4 LCR était inapplicable ici. Le recourant n'était certainement BGE 113 IV 4 S. 6 pas assimilable au conducteur d'un véhicule de la police malgré sa fonction d'accompagnateur officiel (voir ATF 106 IV 2 consid. 1 et 2; BUSSY &amp; RUSCONI, Code de la circulation routière, 2e éd., Lausanne 1984, n. 5.2a p. 482 ad art. 100 LCR ). La cour cantonale ne constate pas que la motocyclette accidentée ait porté l'inscription "police" et le mémoire de recours ne mentionne nullement que le recourant aurait soutenu, devant la seconde instance cantonale déjà, qu'il s'agissait d'un véhicule de police; dans la mesure où son argumentation implique un tel fait, elle est irrecevable car il s'agit d'un moyen nouveau ( ATF 107 II 224 consid. 3). L' art. 67 OSR prévoit uniquement l'obligation pour les usagers de se conformer aux signes et aux instructions données par les personnes dont la liste est précisée; or le recourant n'appartient manifestement à aucune des catégories énumérées, si bien que sa référence à cette disposition de l'OSR tombe à faux. De plus, cet article ne confère aucun privilège aux agents de la police.</w:t>
      </w:r>
    </w:p>
    <w:p>
      <w:r>
        <w:rPr>
          <w:b/>
        </w:rPr>
        <w:t>E. 3</w:t>
      </w:r>
    </w:p>
    <w:p>
      <w:r>
        <w:t>En substance, le recourant fait valoir que sa mission d'accompagnateur officiel d'une course cycliste implique nécessairement l'inobservation de certaines règles de la circulation, sans quoi son rôle deviendrait impossible; ainsi, être accompagnateur autorisé constituerait un fait justificatif. L'autorité cantonale compétente en matière de circulation routière n'a pas prévu, dans son autorisation d'organiser la course, de dérogations aux règles de la circulation (au sens de l' art. 52 al. 4 LCR ); elle a au contraire précisé que les véhicules accompagnants étaient tenus de se conformer aux règles de la circulation; le recourant ne peut donc se fonder sur la LCR pour se justifier. L'existence d'un devoir de fonction n'entre pas non plus en considération car le recourant n'est pas un agent de la police.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écrite (A. HAEFLIGER, Rechtmässigkeit der durch Gesetz oder Berufspflicht gebotenen Tat, in RPS 80 (1964) p. 37; G. STRATENWERTH, Schweiz. Strafrecht allgemeiner Teil I, Bern 1982, p. 224 n. 110; P. NOLL/S. TRECHSEL, Schweizerisches Strafrecht allg. Teil I, 2e éd. Zurich 1986 p. 119). En l'espèce, qu'il en aille ainsi pour le devoir d'accompagnateur incombant au recourant n'est ni établi ni évident. Les conditions de la légitime défense et de l'état de nécessité font manifestement défaut faute BGE 113 IV 4 S. 7 notamment d'attaque ou de danger imminent. Toutefois, d'après la jurisprudence, on peut admettre l'existence de faits justificatifs non prévus par la loi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 ATF 94 IV 70 consid. 2 et doctrine citée, 82 IV 18 consid. 3; H. SCHULTZ, in RJB 105 P. 388; O.A. GERMANN, Das Verbrechen im neuen Strafrecht, Zurich 1942, p. 214; H. SCHULTZ, Einführung in den allg. Teil des Strafrechts, vol. I, 4e éd. Berne 1982, p. 171/172; P. NOLL, Die Rechtfertigungsgründe im Gesetz und in der Rechtsprechung in RPS 80 (1964) p. 185). En l'espèce, ces conditions sont réunies. D'une part, l'autorisation donnée par le Service vaudois des automobiles contient des conditions générales prévoyant que les véhicules accompagnants sont tenus de se conformer aux règles de la circulation; d'autre part, les organisateurs de la course, uniques responsables de son bon déroulement, étaient invités à prendre toutes les mesures de sécurité nécéssaires. Ce sont là deux injonctions inconciliables. La course cycliste sur route, telle que prévue et telle qu'elle s'est déroulée, nécessitait la présence de véhicules accompagnants pour assurer la sécurité des coureurs et des autres usagers; les accompagnateurs ne pouvaient remplir leur mission qu'en précédant les différents groupes de coureurs, à une certaine distance et en adoptant une vitesse au moins égale à la leur; ainsi, ils pouvaient être amenés, par les coureurs, à dépasser la vitesse maximale autorisée fixée à 50 km/h dans les localités, ce que firent d'ailleurs aussi les deux motocyclistes de la police escortant les concurrents; l'expérience générale de la vie montre que les coureurs cyclistes ont l'habitude, suivant les circonstances, d'occuper toute la largeur de la route; en conséquence la mission des accompagnateurs qui les précèdent impose à ceux-là de circuler au milieu de la chaussée, ou même un peu sur la partie gauche de celle-ci; en effet, ce comportement permet de faire comprendre rapidement et sans ambiguïté aux usagers circulant en sens inverse l'approche du danger inhérent aux coureurs. La sécurité de ceux-ci et celle des autres usagers de la route, qui constituait la seule cause de la façon de conduire du recourant (laquelle correspond d'ailleurs à celle des agents de police placés dans la même situation), apparaissent sans aucun doute comme prépondérantes face aux inobservations des règles de la circulation routière qui lui sont reprochées. Ce comportement, ordinairement illicite, est dès lors justifié, ce qui doit conduire à la libération du recourant, faute d'infraction (voir art. 32 CP ). Il en irait de même si l'on examinait les faits sous l'angle du conflit de plusieurs devoirs (Pflichtenkollision), proche de l'état de nécessité et qui constitue aussi un fait justificatif (voir P. NOLL/S. TRECHSEL, op.cit., p. 120; en droit de la République fédérale d'Allemagne, SCHÖNKE/SCHRÖDER, Strafgesetzbuchkommentar, 22e éd. n. 70 f ad § 32 ss.; MAURACH, Strafrecht allg. Teil vol. 1 6e éd. n. 52 ad § 27; en droit français, voir R. MERLE/A. VITU, Traité de droit criminel, 2e éd. Paris 1973, p. 418 ss. n. 365; voir J. DARBELLAY, Théorie générale de l'illicéité, Fribourg 1955 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