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113</w:t>
      </w:r>
    </w:p>
    <w:p>
      <w:r>
        <w:t>Bundesgericht (BGE), 1987-01-01, DE</w:t>
      </w:r>
    </w:p>
    <w:p>
      <w:r>
        <w:rPr>
          <w:b/>
        </w:rPr>
        <w:t xml:space="preserve">Quelle: </w:t>
      </w:r>
      <w:r>
        <w:t>https://mcp.opencaselaw.ch/entscheid/bge_BGE_113_IV_113</w:t>
      </w:r>
    </w:p>
    <w:p>
      <w:r>
        <w:t>FR: ATF 113 IV 113</w:t>
      </w:r>
    </w:p>
    <w:p>
      <w:r>
        <w:t>IT: DTF 113 IV 113</w:t>
      </w:r>
    </w:p>
    <w:p>
      <w:pPr>
        <w:pStyle w:val="Heading2"/>
      </w:pPr>
      <w:r>
        <w:t>Regeste</w:t>
      </w:r>
    </w:p>
    <w:p>
      <w:r>
        <w:t>Regeste Art. 61 StGB. Art. 61 StGB bildet eine hinreichende Grundlage - für die Urteilsveröffentlichung in der Zeitung, in der die verletzende Äusserung erschienen ist, und gegebenenfalls auch in einem dritten Presseerzeugnis (E. 1b), - dafür, die Publikation an einer bestimmten Stelle im redaktionellen Teil anzuordnen (E. 1d).</w:t>
      </w:r>
    </w:p>
    <w:p>
      <w:r>
        <w:t>Regeste Art. 61 CP. L'art. 61 CP constitue une base légale suffisante - pour ordonner la publication d'un jugement dans le journal où a paru une expression attentatoire à l'honneur, voire dans un journal tiers (consid. 1b), - pour exiger que la publication ait lieu à un endroit précis de la partie rédactionnelle du journal (consid. 1d).</w:t>
      </w:r>
    </w:p>
    <w:p>
      <w:r>
        <w:t>Regesto Art. 61 CP. L'art. 61 CP costituisce una base legale sufficiente - per ordinare la pubblicazione di una sentenza nel giornale in cui è apparsa l'espressione lesiva dell'onore e, se del caso, in un organo della stampa terzo (consid. 1b), - per esigere che la pubblicazione abbia luogo in un posto determinato della parte redazionale (consid. 1d).</w:t>
      </w:r>
    </w:p>
    <w:p>
      <w:pPr>
        <w:pStyle w:val="Heading2"/>
      </w:pPr>
      <w:r>
        <w:t>Erwägungen</w:t>
      </w:r>
    </w:p>
    <w:p>
      <w:r>
        <w:rPr>
          <w:b/>
        </w:rPr>
        <w:t>E. 1</w:t>
      </w:r>
    </w:p>
    <w:p>
      <w:r>
        <w:t>Die Frage, ob die Nichtigkeitsbeschwerde gemäss Art. 268 BStP zulässig ist, kann offenbleiben, da sie sich ohnehin als unbegründet erweist. a) Die Beschwerdeführerin macht geltend, entgegen der Auffassung des Obergerichtes bilde Art. 61 StGB keine hinreichende Grundlage für die angeordnete Urteilspublikation. Art. 61 StGB richte sich nur gegen eine Partei im Strafverfahren. Andere Rechtsgrundlagen, gestützt auf welche die Beschwerdeführerin zur Publikation verhalten werden könnte, seien nicht ersichtlich. Eventualiter wird geltend gemacht, dass, sogar wenn eine Publikationspflicht der Beschwerdeführerin bestünde, aufgrund der konkreten Umstände des vorliegenden Falles ein öffentliches Interesse an der Publikation zu verneinen sei; subeventualiter, dass die Art und Weise, wie die Urteilspublikation angeordnet worden sei, mit Art. 61 StGB nicht vereinbart werden könne. b) Gemäss Art. 61 StGB kann der Richter die Veröffentlichung eines Strafurteils auf Kosten des Verurteilten anordnen, wenn diese im öffentlichen Interesse oder im Interesse des Verletzten oder Antragsberechtigten geboten ist. Der Richter bestimmt Art und Umfang der Veröffentlichung. Das Gesetz spricht sich nicht ausdrücklich zur Frage aus, ob die Urteilspublikation in einer am Prozess nicht beteiligten Zeitung angeordnet werden kann. Dass diese Möglichkeit besteht, ist offenbar bisher als selbstverständlich BGE 113 IV 113 S. 116 angenommen worden, jedenfalls soweit es die Zeitung betrifft, in welcher die ehrverletzende Äusserung erschienen ist (vgl. DUBS, ZStR 87/1971, S. 404; vgl. ferner Obergericht Luzern, SJZ 41/1945, S. 240, Nr. 108, und Beschluss des Bundesrates, VPB 16/1952, Nr. 15, wo auch weitergehend die Publikationsanordnung in Zeitungen als zulässig angesehen wird, in denen die ehrverletzende Äusserung nicht erschienen ist). Erst neuerdings wird die Frage aufgeworfen, ob wirklich eine ausreichende Rechtsgrundlage bestehe, um die Presse - abgesehen von amtlichen Publikationsorganen - zur Veröffentlichung von Strafurteilen zu verpflichten (JÖRG REHBERG, Strafrecht II, 4. Aufl., S. 79; DENIS BARRELET, Droit suisse des mass media, 2. Aufl., N. 117, vgl. aber auch N. 386). Art. 61 StGB schränkt nach seinem Wortlaut die Befugnis des Richters, bei Vorliegen der Voraussetzungen gemäss Abs. 1 die Veröffentlichung des Urteils anzuordnen sowie Art und Umfang der Veröffentlichung zu bestimmen, in keiner Weise erkennbar ein. Die richterliche Befugnis muss demnach umfassend sein und die Möglichkeit in sich schliessen, die Urteilspublikation in irgendeinem Presseerzeugnis anzuordnen. Die Entstehungsgeschichte bestätigt, dass der so verstandene Wortlaut den Sinn der Bestimmung zutreffend wiedergibt. Der Richter soll je nach dem mit der Veröffentlichung des Urteils zu verfolgenden Ziel, d.h. der Natur der dadurch zu schützenden Interessen, die Publikation in einem amtlichen oder privaten Presseerzeugnis oder in beiden zugleich anordnen können (vgl. LOGOZ, N. 5 zu Art. 61; HAFTER, Lehrbuch des Schweizerischen Strafrechts, Allg. Teil, 2. Aufl., S. 426; sowie für das Ergebnis THORMANN/OVERBECK, N. 8 zu Art. 61; SCHWANDER, Das Schweizerische Strafgesetzbuch, 2. Aufl., S. 282). Nur eine solche Auslegung wird auch dem Schutzgedanken der Norm gerecht. Der Täter einer Presseehrverletzung ist in der Regel nicht Eigentümer des Publikationsorgans, in welchem die Äusserung erschienen ist. Wäre in Art. 61 StGB eine gesetzliche Grundlage zur Anordnung der Urteilsveröffentlichung nur gegenüber dem Verurteilten selbst zu erblicken, so würde das Institut der Urteilspublikation, dem gerade in Ehrverletzungsprozessen nicht unerhebliche Bedeutung zukommt (vgl. SCHULTZ, Bericht und Vorentwurf zur Revision des Allgemeinen Teils ..., Bern 1987, S. 197), praktisch leerlaufen. Dass die Zeitung, in der die verletzende Äusserung erschienen ist, zur Urteilspublikation verpflichtet werden kann, ist für das Zivilrecht bejaht worden ( BGE 106 II 92 ff.). BGE 113 IV 113 S. 117 Doch kann es unter Umständen geboten sein, das Urteil in einem dritten Presseerzeugnis erscheinen zu lassen, um den mit der gesetzlichen Regelung angestrebten Zweck der Urteilsveröffentlichung zu erreichen. Der Haupteinwand der Beschwerdeführerin erweist sich somit als unbegründet. c) Gemäss dem klaren Wortlaut von Art. 61 StGB ist die Veröffentlichung des Strafurteils zulässig, wenn sie im Interesse des Verletzten liegt. Ob dieses Interesse besteht, ist im Verfahren zwischen dem Verletzten und dem Verletzer zu entscheiden. Auf den Einwand der Beschwerdeführerin, die angeordnete Publikation verletze mangels eines öffentlichen Interesses Art. 61 StGB , ist demnach nicht einzutreten. d) Die Beschwerdeführerin macht geltend, Art. 61 StGB sei jedenfalls deshalb verletzt, weil eine Anordnung, wie sie das Obergericht im vorliegenden Fall getroffen habe, eine unzumutbare Beeinträchtigung der Redaktionsfreiheit bedeute. Gemäss Art. 61 Abs. 4 StGB bestimmt der Richter Art und Umfang der Veröffentlichung. Diese Bestimmung bildet eine hinreichende gesetzliche Grundlage auch dafür, die Publikation an einer bestimmten Stelle, etwa in einer bestimmten Rubrik, und im genauen Wortlaut anzuordnen. Eine solche Anordnung kann sinnvoll sein, um zu erreichen, dass die Publikation den gleichen Personenkreis erreicht wie die verletzende Äusserung, wie dies für das zivilrechtliche Gegendarstellungsrecht ausdrücklich vorgesehen ist ( Art. 28k Abs. 1 ZGB ). Dass das Obergericht vorliegendenfalls in seiner Anordnung zu weit gegangen sei, wird mit der Beschwerde nicht substantiiert geltend gemacht. Sie erweist sich deshalb auch in diesem Punkte als unbegründet. e) Schliesslich macht die Beschwerdeführerin auch eine Verletzung von Art. 55 BV geltend. Zur Rüge von Verfassungsverletzungen steht das Rechtsmittel der eidgenössischen Nichtigkeitsbeschwerde indessen nicht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