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108</w:t>
      </w:r>
    </w:p>
    <w:p>
      <w:r>
        <w:t>Bundesgericht (BGE), 1987-01-01, DE</w:t>
      </w:r>
    </w:p>
    <w:p>
      <w:r>
        <w:rPr>
          <w:b/>
        </w:rPr>
        <w:t xml:space="preserve">Quelle: </w:t>
      </w:r>
      <w:r>
        <w:t>https://mcp.opencaselaw.ch/entscheid/bge_BGE_113_IV_108</w:t>
      </w:r>
    </w:p>
    <w:p>
      <w:r>
        <w:t>FR: ATF 113 IV 108</w:t>
      </w:r>
    </w:p>
    <w:p>
      <w:r>
        <w:t>IT: DTF 113 IV 108</w:t>
      </w:r>
    </w:p>
    <w:p>
      <w:pPr>
        <w:pStyle w:val="Heading2"/>
      </w:pPr>
      <w:r>
        <w:t>Regeste</w:t>
      </w:r>
    </w:p>
    <w:p>
      <w:r>
        <w:t>Regeste Art. 350 Ziff. 1 Abs. 1 StGB. 1. Der Gerichtsstand hängt nicht davon ab, was dem Angeschuldigten schliesslich nachgewiesen werden kann, sondern bestimmt sich danach, was aufgrund der Aktenlage überhaupt in Frage kommt (E. 1). 2. In casu Verdacht der Gehilfenschaft zu Raub bejaht (E. 2).</w:t>
      </w:r>
    </w:p>
    <w:p>
      <w:r>
        <w:t>Regeste Art. 350 ch. 1 al. 1 CP. 1. Le for ne dépend pas de ce qui sera finalement retenu à la charge de l'accusé, mais bien des griefs qui peuvent lui être faits sur la base du dossier (consid. 1). 2. Cas d'espèce où le grief de complicité de brigandage est admis (consid. 2).</w:t>
      </w:r>
    </w:p>
    <w:p>
      <w:r>
        <w:t>Regesto Art. 350 n. 1 cpv. 1 CP. 1. Il foro non dipende dai reati che saranno posti finalmente a carico dell'imputato, bensì dai reati che possono entrare in linea di conto in base allo stato degli atti (consid. 1). 2. Fattispecie in cui è accertato che entra in considerazione l'imputazione di complicità in rapina (consid. 2).</w:t>
      </w:r>
    </w:p>
    <w:p>
      <w:pPr>
        <w:pStyle w:val="Heading2"/>
      </w:pPr>
      <w:r>
        <w:t>Erwägungen</w:t>
      </w:r>
    </w:p>
    <w:p>
      <w:r>
        <w:rPr>
          <w:b/>
        </w:rPr>
        <w:t>E. 1</w:t>
      </w:r>
    </w:p>
    <w:p>
      <w:r>
        <w:t>Die Gesuchsgegnerin bestreitet ihre Zuständigkeit mit dem Einwand, es bestehe nach der Aktenlage der Verdacht, L. habe sich durch den Verkauf von zwei Schusswaffen und Munition der Gehilfenschaft zu qualifiziertem Raub schuldig gemacht, der mit schwererer Strafe bedroht ist als die qualifizierte Widerhandlung gegen das Betäubungsmittelgesetz. Gehilfenschaft liegt vor, wenn zu einem Verbrechen oder zu einem Vergehen vorsätzlich Hilfe geleistet wird ( Art. 25 StGB ). Jeder kausale Beitrag, der die Tat fördert, so dass sich diese ohne Mitwirkung des Gehilfen anders abgewickelt hätte, fällt objektiv in Betracht ( BGE 108 Ib 302 E. 3a mit Hinweisen). Subjektiv ist erforderlich, dass der Gehilfe weiss oder damit rechnet, eine bestimmt geartete Straftat zu unterstützen, und dass er dies will oder in Kauf nimmt, wobei zum Vorsatz auch die Voraussicht des Geschehensablaufs gehört ( BGE 111 IV 34 E. 2 mit Hinweis); dabei genügt es, dass er die wesentlichen Merkmale des vom Täter zu verwirklichenden strafbaren Tuns erkennt, während er Einzelheiten der Tat nicht zu kennen braucht (SCHÖNKE/SCHRÖDER, N. 19 zu § 27 StGB ; DREHER/TRÖNDLE, N. 8 zu § 27 StGB ). Ein ganz unbestimmter, allgemein gehaltener Vorsatz dahingehend, dass das eigene Verhalten einem Dritten überhaupt Hilfe zur Deliktsbegehung leiste, kann nicht ausreichen (NEUENSCHWANDER, Die Strafbarkeitsvoraussetzungen der Beihilfe nach Art. 25 StGB , Diss. Zürich 1954, S. 52). Bei der Beurteilung der Gerichtsstandsfrage muss von der Verdachtslage ausgegangen werden, wie sie sich nach den Akten im Zeitpunkt des Entscheides durch die Anklagekammer darbietet. Der Gerichtsstand hängt nicht davon ab, was dem Beschuldigten schliesslich nachgewiesen werden kann, sondern bestimmt sich danach, was aufgrund der Aktenlage überhaupt in Frage kommt ( BGE 112 IV 63 E. 2 mit Hinweisen).</w:t>
      </w:r>
    </w:p>
    <w:p>
      <w:r>
        <w:rPr>
          <w:b/>
        </w:rPr>
        <w:t>E. 2</w:t>
      </w:r>
    </w:p>
    <w:p>
      <w:r>
        <w:t>Nach den übereinstimmenden Aussagen von L. und den drei am Raubüberfall Beteiligten ist dieser um drei Schusswaffen, BGE 113 IV 108 S. 110 wovon eine mit Schalldämpfer, sowie Munition angegangen worden. R. verlangte nach der Darstellung von O. eine grosse Waffe, eine solche, welche Eindruck erwecke. Wie P. aussagte, gab L. ihnen den Rat, falls sie die Waffen für etwas Schlimmes verwenden wollten, deren Nummern wegzumachen, was er für sie tat, als sie das wünschten; er soll sie zudem ermahnt haben, vorsichtig mit den Waffen zu sein, da er sie ihnen beschafft habe und somit hineingezogen werden könnte. P. vermutete, L. habe geahnt, dass sie einen Überfall vorhatten, obwohl wahrscheinlich nicht von einem solchen gesprochen worden sei. P., den L. aus dem Drogengeschäft kannte, war gemäss übereinstimmender Darstellung sowenig wie die beiden anderen in der Lage, den Kaufpreis der Waffen zu bezahlen; es wurden statt dessen zwei Ringe verpfändet. L. behauptet, von dem geplanten Überfall nichts gewusst zu haben, was von R. und O. in ihren ergänzenden Abhörungen bestätigt wurde. Trotzdem erweist sich der Verdacht, L. könnte sich auch subjektiv der Gehilfenschaft beim qualifizierten Raubüberfall schuldig gemacht haben, aufgrund der angeführten Aussagen nicht von vornherein als haltlos ( BGE 98 IV 63 E. 2 mit Hinweisen); davon ging bereits die Kantonspolizei Bern aus, als sie um eine nochmalige, eingehende Befragung der drei am Überfall Beteiligten ersuchte. Wenn für jeden derselben eine Schusswaffe mit Munition begehrt wurde, eine davon einen Schalldämpfer aufweisen sollte, von einem ferner eine grosse, Eindruck erweckende Waffe bevorzugt war, und sie den Kaufpreis nicht zu bezahlen vermochten, so war für L. die Möglichkeit nicht auszuschliessen, dass sie in Geldnot stecken, gemeinsam handeln, den Widerstand von Personen mit Waffen brechen und schiessen könnten, um zu Geld zu gelangen; er rechnete offenbar auch damit, als er die Nummern der Waffen wegmachte, was er selber für den Fall angeraten hatte, dass sie etwas Schlimmes vorhaben sollten. Von den dreien hatte P. durch den Drogenhandel, aus dem ihn L. kannte, seine Delinquenzbereitschaft bereits erkennbar gezeigt. L. wusste damit um die wesentlichen Merkmale einer bestimmten Tat, nämlich eines qualifizierten, unter Offenbarung besonderer Gefährlichkeit ( BGE 110 IV 79 E. 3) oder unter Schaffung einer Lebensgefahr für das Opfer ( BGE 112 IV 17 E. 2a mit Hinweisen) begangenen Raubes gemäss Art. 139 Ziff. 2 oder 3 StGB , und damit auch um den voraussichtlichen Geschehensablauf. Wie sich die Tat im einzelnen abwickeln und gegen wen sie gerichtet sein würde, musste L. nicht bekannt sein ( BGE 108 Ib 303 ). Beschaffte BGE 113 IV 108 S. 111 er Waffen und Munition, wiewohl er mit einer derartigen Verwendung rechnete, so liegt die Annahme vorsätzlichen Handelns auf der Hand. Die vom Gesuchsteller und der Staatsanwaltschaft des Kantons Aargau vertretene Auffassung, eine Gehilfenschaft sei nach der Aktenlage aus rechtlichen Gründen auszuschliessen, weil L. weder einen bestimmten Geschehensablauf noch die Art einer konkreten Tat habe voraussehen können, erweist sich demgemäss als unzutreffend.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