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424</w:t>
      </w:r>
    </w:p>
    <w:p>
      <w:r>
        <w:t>Bundesgericht (BGE), 1987-01-01, FR</w:t>
      </w:r>
    </w:p>
    <w:p>
      <w:r>
        <w:rPr>
          <w:b/>
        </w:rPr>
        <w:t xml:space="preserve">Quelle: </w:t>
      </w:r>
      <w:r>
        <w:t>https://mcp.opencaselaw.ch/entscheid/bge_BGE_113_II_424</w:t>
      </w:r>
    </w:p>
    <w:p>
      <w:r>
        <w:t>FR: ATF 113 II 424</w:t>
      </w:r>
    </w:p>
    <w:p>
      <w:r>
        <w:t>IT: DTF 113 II 424</w:t>
      </w:r>
    </w:p>
    <w:p>
      <w:pPr>
        <w:pStyle w:val="Heading2"/>
      </w:pPr>
      <w:r>
        <w:t>Regeste</w:t>
      </w:r>
    </w:p>
    <w:p>
      <w:r>
        <w:t>Regeste Haftung aus dem Betrieb eines Schwimmbads. 1. Betreibt eine Gemeinde ein der Öffentlichkeit zugängliches Schwimmbad, so haftet sie nach Bundeszivilrecht (E. 1a). 2. Rechtsnatur des zwischen der Gemeinde und dem Benützer abgeschlossenen Vertrags. Haftung für Hilfspersonen. Beweislast bei Vertragsverletzung (E. 1b). 3. Umfang der einem Bademeister obliegenden Sorgfaltspflicht (E. 1c). Deren Verletzung ist im vorliegenden Fall nicht nachgewiesen (E. 1d).</w:t>
      </w:r>
    </w:p>
    <w:p>
      <w:r>
        <w:t>Regeste Responsabilité de l'exploitant d'une piscine. 1. La responsabilité découlant de l'exploitation, par une commune, d'une piscine ouverte au public est fondée sur le droit privé fédéral (consid. 1a). 2. Qualification du contrat passé entre la commune et l'usager. Responsabilité pour les auxiliaires. Fardeau de la preuve en cas d'inexécution ou de violation positive du contrat (consid. 1b). 3. Etendue du devoir de diligence incombant au gardien d'une piscine (consid. 1c). La preuve d'une violation de ce devoir n'a pas été apportée en l'espèce (consid. 1d).</w:t>
      </w:r>
    </w:p>
    <w:p>
      <w:r>
        <w:t>Regesto Responsabilità dell'esercente di una piscina. 1. La responsabilità risultante dall'esercizio, da parte di un Comune, di una piscina aperta al pubblico è fondata sul diritto privato federale (consid. 1a). 2. Qualificazione del contratto concluso tra il Comune e l'utente. Responsabilità per le persone ausiliarie. Onere della prova in caso d'inadempimento del contratto (consid. 1b). 3. Estensione del dovere di diligenza che incombe al guardiano di una piscina (consid. 1c). Nella fattispecie non è stata fornita la prova di una violazione di tale dovere (consid. 1d).</w:t>
      </w:r>
    </w:p>
    <w:p>
      <w:pPr>
        <w:pStyle w:val="Heading2"/>
      </w:pPr>
      <w:r>
        <w:t>Erwägungen</w:t>
      </w:r>
    </w:p>
    <w:p>
      <w:r>
        <w:rPr>
          <w:b/>
        </w:rPr>
        <w:t>E. 1</w:t>
      </w:r>
    </w:p>
    <w:p>
      <w:r>
        <w:t>a) L'exploitation de la piscine de la commune de X., lorsque cette dernière est ouverte au public, n'entre pas dans le cadre d'une activité étatique ayant un caractère de souveraineté. Elle ne procède pas de l'exercice de la puissance publique. La responsabilité découlant de cette exploitation est donc fondée sur le droit privé fédéral ( art. 61 al. 2 CO ; cf. ATF 102 II 47 et les arrêts cités). b) Avec les premiers juges, on doit admettre que celui qui entre à la piscine moyennant finance conclut un contrat qui n'est pas spécialement prévu par le code des obligations; ce contrat, qui s'apparente à quelques contrats régis par ce code, peut être qualifié de convention sui generis voisine du "Gastaufnahmevertrag" dont fait état l'arrêt ATF 71 II 114 /115 consid. 4 (arrêt non publié du 31 octobre 1961 en la cause Société fermière de la patinoire et piscine de Montchoisi et commune de Lausanne c. Rossier; cf. WEBER, Zivilrechtliche Haftung öffentlicher und privater Badeanstalten, thèse Berne 1977, p. 82 ss). L'exploitant qui n'accomplit pas ou accomplit mal les obligations inhérentes à ce contrat est tenu de réparer le dommage résultant de cette inexécution ou de cette exécution imparfaite, s'il ne prouve qu'aucune faute ne lui est imputable ( art. 97 CO ). Lorsqu'il exécute ses obligations, comme en l'espèce, par l'entremise d'auxiliaires, il répond du comportement de ceux-ci comme du sien propre, en vertu de l' art. 101 CO ; il ne peut donc se libérer de sa responsabilité du chef des actes de ses auxiliaires qu'en prouvant que s'il avait agi comme ses auxiliaires on ne pourrait lui reprocher aucune carence ( ATF 107 Ia 170 /171 consid. 2c; ATF 92 II 19 et 239; ENGEL, Traité des obligations en droit suisse, p. 501; KELLER, Haftpflicht im Privatrecht, 3e éd., p. 316; BGE 113 II 424 S. 427 CUENDET, La faute contractuelle et ses effets, thèse Lausanne 1970, p. 185/186, ch. 381 et 382). Certes, conformément à l' art. 97 CO , il n'appartient pas au créancier lésé par une violation du contrat d'établir une faute de son débiteur ou de l'auxiliaire de celui-ci, mais il incombe au débiteur de démontrer qu'aucune faute ne lui est imputable. Cependant, les demandeurs, qui rappellent ce principe, perdent de vue que s'ils sont effectivement dispensés de prouver une faute du débiteur, ils doivent établir, au préalable, l'inexécution ou la violation positive du contrat, ainsi que la relation de causalité entre cette violation et le dommage ( ATF 113 II 251 consid. 7 in fine, ATF 95 II 138 ; cf. GAUCH/SCHLUEP, 4e éd., II, n. 1648). c) A l'instar de l'aubergiste dans le "Gastaufnahmevertrag", l'exploitant d'une piscine publique doit laisser l'usager utiliser les installations mises à sa disposition sans qu'il en résulte un préjudice pour sa santé ou son intégrité corporelle; s'il ne prend pas toutes les mesures commandées par les circonstances pour lui assurer la sécurité voulue, il n'accomplit pas ses obligations contractuelles (cf. ATF 71 II 114 /115 et l'arrêt du 31 octobre 1961 déjà cité). Outre la sécurité des installations, la surveillance des usagers et de leurs actes, en particulier aux endroits les plus dangereux, tels que les bassins et les plongeoirs, est essentielle (cf. WEBER, op.cit., p. 86/87). Cela implique, de la part du gardien, une attention soutenue, depuis le bord ou à proximité de la piscine, à l'égard de tout acte ou événement insolite ou pouvant présenter un danger, pour autant qu'il soit perceptible, ainsi qu'une intervention immédiate sitôt qu'une anomalie ou un danger lui est signalé par toute personne l'ayant perçu. Comme le relève la cour cantonale, l'exploitant, soit son gardien, doit interdire les bousculades, veiller à ce que les baigneurs ne se poussent pas à l'eau et s'assurer que celui qui tombe dans un bassin sait bien nager. Mais la diligence à observer dans la surveillance ne peut pas raisonnablement porter sur tous les actes des usagers, même lorsqu'ils sont dans l'eau. Ainsi que le dit le jugement attaqué, il n'incombe pas au gardien de vérifier que chaque baigneur reste en surface, ou, s'il est sous l'eau, qu'il remonte à temps. Le risque lié à l'usage normal de l'eau, ou à son usage apparemment normal, doit être assumé par le nageur lui-même ou par ceux qui ont une autorité directe sur lui, l'exploitant n'ayant à intervenir que s'il constate que le risque couru se concrétise. BGE 113 II 424 S. 428 Pour remplir les tâches de surveillance ainsi définies, on peut admettre, avec la cour cantonale, que la présence d'un gardien, surveillant effectivement les lieux, est suffisante pour une piscine enregistrant quotidiennement une cinquantaine d'entrées, et pouvant même compter cinquante personnes immergées. Le parallèle avec la plage et piscine de Bellerive, à Lausanne, s'il n'est pas absolument déterminant à cet égard, fournit un point de comparaison qui démontre au moins que l'avis de la cour cantonale n'a rien d'aberrant (Bellerive: 20 gardiens pour 10'000 visiteurs les jours d'affluence). d) Au vu des exigences ainsi posées et des constatations de fait souveraines de la cour cantonale, on ne peut pas retenir que la défenderesse, soit son auxiliaire, ait violé l'obligation de surveillance qui lui incombait. A tout le moins, les demandeurs n'ont rien prouvé à cet égard. Ils n'ont établi ni que le gardien ne se serait pas trouvé à son poste au bord du bassin, ni qu'un événement apparemment dangereux ou insolite concernant le comportement ou la personne de l'enfant Cindy lui aurait échappé, puisque les circonstances dans lesquelles la fillette est entrée dans l'eau ne sont pas connues. Quant au fait que l'enfant serait restée de longues minutes sous l'eau, il pourrait certes constituer un événement insolite et perceptible qui n'eût pas dû échapper à un gardien vigilant, mais il n'a nullement été établi et n'a pas été retenu par les premiers juges. En effet, aucune indication n'a été fournie quant au laps de temps durant lequel l'enfant est demeurée sous l'eau. Les affirmations différentes et les supputations ou calculs des demandeurs au sujet de ce laps de temps ne sont que des critiques irrecevables visant les constatations de fait de la cour cantonale (art. 43 al. 3, 55 al. 1 lettre c, et 63 al. 2 OJ). Enfin, aucun manquement ne peut être imputé au gardien à partir du moment où la présence de l'enfant au fond de la piscine lui a été signalée, puisqu'il est intervenu immédiatement. Une violation des obligations contractuelles de la part de la défenderesse, ou de son auxiliaire, n'a donc pas été établie. L'action fondée sur les art. 97 et 101 CO et, partant, le recours ne peuvent dès lors qu'être rejetés, le jugement entrepris devant, en conséquence,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