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394</w:t>
      </w:r>
    </w:p>
    <w:p>
      <w:r>
        <w:t>Bundesgericht (BGE), 1987-01-01, FR</w:t>
      </w:r>
    </w:p>
    <w:p>
      <w:r>
        <w:rPr>
          <w:b/>
        </w:rPr>
        <w:t xml:space="preserve">Quelle: </w:t>
      </w:r>
      <w:r>
        <w:t>https://mcp.opencaselaw.ch/entscheid/bge_BGE_113_II_394</w:t>
      </w:r>
    </w:p>
    <w:p>
      <w:r>
        <w:t>FR: ATF 113 II 394</w:t>
      </w:r>
    </w:p>
    <w:p>
      <w:r>
        <w:t>IT: DTF 113 II 394</w:t>
      </w:r>
    </w:p>
    <w:p>
      <w:pPr>
        <w:pStyle w:val="Heading2"/>
      </w:pPr>
      <w:r>
        <w:t>Regeste</w:t>
      </w:r>
    </w:p>
    <w:p>
      <w:r>
        <w:t>Regeste Art. 4 BV; Art. 416 ZGB. Entschädigung des Vormundes bzw. des provisorischen Vertreters. Die Vormundschaftsbehörde, welche die Ausrichtung der Entschädigung des Vertreters davon abhängig macht, dass der Bevormundete keine Verantwortlichkeitsklage gegen den Vormund erhebt, handelt willkürlich.</w:t>
      </w:r>
    </w:p>
    <w:p>
      <w:r>
        <w:t>Regeste Art. 4 Cst.; art. 416 CC. Salaire du tuteur, respectivement du représentant provisoire. Commet un arbitraire l'autorité de tutelle qui fait dépendre l'exigibilité de la rémunération de la non-introduction, par le pupille, d'une action en dommage-intérêts contre le tuteur.</w:t>
      </w:r>
    </w:p>
    <w:p>
      <w:r>
        <w:t>Regesto Art. 4 Cost.; art. 416 CC. Mercede del tutore e del rappresentante provvisorio. Incorre in arbitrio l'autorità tutoria che subordina l'esigibilità della mercede al fatto che il tutelato non promuova nei confronti del tutore un'azione per risarcimento di danni.</w:t>
      </w:r>
    </w:p>
    <w:p>
      <w:pPr>
        <w:pStyle w:val="Heading2"/>
      </w:pPr>
      <w:r>
        <w:t>Erwägungen</w:t>
      </w:r>
    </w:p>
    <w:p>
      <w:r>
        <w:rPr>
          <w:b/>
        </w:rPr>
        <w:t>E. 2</w:t>
      </w:r>
    </w:p>
    <w:p>
      <w:r>
        <w:t>Tout d'abord, le recourant taxe la décision attaquée d'arbitraire dans la mesure où elle déclare la rémunération due au représentant provisoire exigible uniquement si aucune action n'a été introduite par le pupille dans le délai d'un mois dès la notification de ladite décision. Il a raison. L'exercice des fonctions de tuteur a parfois été considéré comme un nobile officium ne donnant pas droit à une indemnité. Mais le législateur suisse s'est prononcé en faveur du caractère rémunérateur de ces fonctions ( art. 416 CC ), qui sont assimilées à un office public et qui peuvent être imposées aux parents mâles du mineur ou de l'interdit, au mari, ainsi qu'à toutes autres personnes du sexe masculin habitant l'arrondissement tutélaire et jouissant des droits civiques ( art. 382 al. 1 CC ). La rémunération est fixée par l'autorité tutélaire et elle est prélevée sur les biens du pupille ( art. 416 CC ). La décision de l'autorité tutélaire constitue une décision d'une autorité administrative prise dans le cadre de la compétence de cette autorité. Aussi représente-t-elle un titre de mainlevée définitive de l'opposition: JAEGER/DAENIKER (Schuldbetreibungs- und Konkurs-Praxis der Jahre 1911-1945, n. 15/16 ad art. 80 LP ) l'admettent expressément (quant aux décisions administratives en général, cf. PANCHAUD/CAPREZ, La mainlevée d'opposition, par. 123; ATF 99 Ia 429 /439 consid. 3). Faire dépendre l'exigibilité de la rémunération de la non-introduction d'une action en dommages-intérêts signifie méconnaître la nature et la portée mêmes de la décision qui fixe cette rémunération et qui, dans une poursuite subséquente, ne peut être mise en échec que par l'une des exceptions prévues à l' art. 81 al. 1 LP (extinction de la dette, sursis, prescription); cela équivaut à rendre illusoire, souvent pendant des années, le droit à la rémunération, qui peut être fait valoir à la fin de chaque période comptable et qui est renforcé par la possibilité de prélever la rémunération sur les biens du pupille. La décision attaquée est, sur ce point, d'autant plus choquante que, comme on l'a vu, la loi oblige à accepter les fonctions de tuteur. L'autorité cantonale se réfère à tort à l' ATF 69 II 24 , qui concerne le cas, tout différent, BGE 113 II 394 S. 396 où un tuteur avait été actionné en dommages-intérêts et avait opposé en compensation le montant de sa rémunération alors que celle-ci n'avait pas encore été fixée par l'autorité tutélaire, seule compétente.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