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345</w:t>
      </w:r>
    </w:p>
    <w:p>
      <w:r>
        <w:t>Bundesgericht (BGE), 1987-01-01, DE</w:t>
      </w:r>
    </w:p>
    <w:p>
      <w:r>
        <w:rPr>
          <w:b/>
        </w:rPr>
        <w:t xml:space="preserve">Quelle: </w:t>
      </w:r>
      <w:r>
        <w:t>https://mcp.opencaselaw.ch/entscheid/bge_BGE_113_II_345</w:t>
      </w:r>
    </w:p>
    <w:p>
      <w:r>
        <w:t>FR: ATF 113 II 345</w:t>
      </w:r>
    </w:p>
    <w:p>
      <w:r>
        <w:t>IT: DTF 113 II 345</w:t>
      </w:r>
    </w:p>
    <w:p>
      <w:pPr>
        <w:pStyle w:val="Heading2"/>
      </w:pPr>
      <w:r>
        <w:t>Regeste</w:t>
      </w:r>
    </w:p>
    <w:p>
      <w:r>
        <w:t>Regeste Motorfahrzeughaftpflicht. Berechnung des Invaliditätsschadens. Ausgehend vom abstrakten Invaliditätsgrad sind dessen Auswirkungen auf die Erwerbsfähigkeit konkret zu berechnen. Bestimmung der Erwerbseinbusse, die eine bereits teilinvalide Person durch einen zweiten Unfall erlitten hat (E. 1b). Der Haftpflichtige hat das Bruttoeinkommen - einschliesslich der Beiträge des Arbeitgebers an die Sozialeinrichtungen -, das in der Regel nach den Aktivitätstafeln zu kapitalisieren ist, zu ersetzen (E. 1b). Die Beeinträchtigung in der Haushaltsführung ist nach den Aufwendungen für eine nach den üblichen Ansätzen zu entschädigende Haushalthilfe zu bemessen. Kapitalisierungsfaktor ist das arithmetische Mittel zwischen Aktivität und Mortalität (Präzisierung der Rechtsprechung; E. 2).</w:t>
      </w:r>
    </w:p>
    <w:p>
      <w:r>
        <w:t>Regeste Responsabilité civile automobile. Calcul du dommage consécutif à l'invalidité. A partir du degré d'invalidité abstrait, il y a lieu d'en calculer concrètement les effets sur la capacité de gain. Détermination de l'atteinte à la capacité de gain que subit une personne déjà partiellement invalide, à la suite d'un second accident (consid. 1b). L'indemnité due par le responsable correspond au revenu brut - y compris les contributions de l'employeur aux institutions sociales -, capitalisé en principe sur la base des tables d'activité (consid. 1b). L'atteinte à la capacité de tenir le ménage doit être déterminée en fonction du coût des services d'une aide ménagère, rétribuée selon les normes usuelles. Le coefficient de capitalisation correspond à la moyenne arithmétique entre les coefficients d'activité et de mortalité (précision de la jurisprudence; consid. 2).</w:t>
      </w:r>
    </w:p>
    <w:p>
      <w:r>
        <w:t>Regesto Responsabilità civile in materia di veicoli a motore. Calcolo del danno per invalidità. A partire dal grado d'invalidità astratto, occorre calcolarne concretamente gli effetti sulla capacità di guadagno. Determinazione della diminuzione della capacità di guadagno subita, in seguito a un secondo infortunio, da persona già parzialmente invalida (consid. 1b). L'indennità dovuta dal responsabile corrisponde al reddito lordo - compresi i contributi del datore di lavoro agli enti delle assicurazioni sociali - capitalizzato, di regola, in base alle tabelle d'attività (consid. 1b). La diminuzione della capacità di occuparsi dell'economia domestica va determinata in funzione del costo dei servizi di una collaboratrice domestica, retribuita secondo le norme usuali. Il coefficiente di capitalizzazione corrisponde alla media aritmetica tra il coefficiente di attività e quello di mortalità (precisazione della giurisprudenza; consid. 2).</w:t>
      </w:r>
    </w:p>
    <w:p>
      <w:pPr>
        <w:pStyle w:val="Heading2"/>
      </w:pPr>
      <w:r>
        <w:t>Erwägungen</w:t>
      </w:r>
    </w:p>
    <w:p>
      <w:r>
        <w:rPr>
          <w:b/>
        </w:rPr>
        <w:t>E. 1</w:t>
      </w:r>
    </w:p>
    <w:p>
      <w:r>
        <w:t>Bei der Entschädigung für Erwerbsunfähigkeit ist vor Bundesgericht noch das Quantitativ der zum zweiten Unfall kausalen Erwerbseinbusse sowie deren Kapitalisierung streitig. Nicht mehr angefochten werden die hypothetischen Annahmen der Vorinstanz, die Klägerin hätte ohne den hier zu beurteilenden Unfall ab 1. Februar 1987 eine teilweise Erwerbstätigkeit aufgenommen und dabei jährlich Fr. 13'200.-- realisiert. Die Bestimmung des Schadens ist nach der bundesgerichtlichen Rechtsprechung grundsätzlich eine vom kantonalen Richter abschliessend zu beurteilende Tatfrage. Rechtsfrage und vom Bundesgericht im Berufungsverfahren zu prüfen ist einzig, ob der kantonale Richter den Rechtsbegriff des Schadens verkannt oder BGE 113 II 345 S. 347 Rechtsgrundsätze der Schadensberechnung verletzt hat ( BGE 111 II 301 E. 3; 109 II 475 E. 3). a) Das Appellationsgericht ist haftpflichtrechtlich von den Schlussfolgerungen des eingeholten Gutachtens ausgegangen, wonach die medizinisch-theoretische Invalidität der Klägerin 85% für die berufliche Erwerbstätigkeit als Checkbeamtin bei den PTT und 90% für die Tätigkeit als Hausfrau beträgt und diese Invalidität zu 80% auf den Unfall des Jahres 1955 und zu 20% auf denjenigen des Jahres 1978 zurückzuführen ist. Daraus hat es geschlossen, die Klägerin sei vor dem hier in Frage stehenden Unfall zu 30% erwerbsfähig gewesen. Weiter hat es angenommen, die nach dem zweiten Unfall verbliebene theoretische Teilarbeitsfähigkeit von 15% sei wirtschaftlich nicht mehr nutzbar, weshalb die Beklagte für eine Gesamteinbusse von 30% einzustehen habe. Demgegenüber will die Beklagte nur für einen Erwerbsausfall von 20%, entsprechend dem kausalen Anteil des zweiten Unfalles an der Gesamtinvalidität, Ersatz leisten. Nach schweizerischer Lehre und Rechtsprechung ist der Invaliditätsschaden konkret zu berechnen ( BGE 104 II 308 , BGE 99 II 216 /18; BREHM, N. 14 zu Art. 42 OR und N. 56 zu Art. 46 OR ; SZÖLLÖSY, Die Berechnung des Invaliditätsschadens im Haftpflichtrecht europäischer Länder, S. 86 und 87 f.). Ausgehend vom abstrakten Invaliditätsgrad sind dessen Auswirkungen auf die Verminderung der Erwerbsfähigkeit oder die Erschwerung des wirtschaftlichen Fortkommens zu bestimmen ( BGE 99 II 218 ; BREHM, N. 35 zu Art. 46 OR ). Entscheidend ist die wirtschaftliche Erwerbseinbusse, welche der Geschädigte durch die Invalidität erleidet. Dabei kann sich ohne weiteres ergeben, dass die prozentual errechnete Erwerbseinbusse wesentlich vom prozentualen Invaliditätsgrad abweicht. Hat der Verletzte einen zweiten Unfall erlitten, so ist zu prüfen, wieweit seine Erwerbsfähigkeit nach dem ersten Unfall durch den zweiten gemindert worden ist und welchen künftigen Verdienst er ohne den zweiten Unfall im Rahmen der durch den ersten Unfall bereits herabgesetzten Erwerbsfähigkeit gehabt hätte. Die aus dem ersten Unfall herrührende Schädigung kann sich dabei ohne weiteres zu Lasten des Verantwortlichen für den zweiten Unfall auswirken, indem die Verletzung eines bereits teilinvaliden Menschen einen grösseren Schaden bewirkt als dieselbe Beeinträchtigung eines gesunden Menschen. Wer beispielsweise den Verlust des gesunden Auges eines Menschen, der bereits früher ein Auge verloren BGE 113 II 345 S. 348 hatte, zu verantworten hat, wird im Regelfalle in wesentlich höherem Masse ersatzpflichtig als derjenige, welcher einen gesunden Menschen entsprechend verletzt. Das ist die unausweichliche Folge der konkreten Schadensberechnung, bei der sich der Schaden nach den subjektiven, nicht nach den "normalen" oder durchschnittlichen Umständen bemisst (RUSCONI, Les principes sur la détermination de l'étendue des dommages-intérêts, in Die Verantwortlichkeit im Recht, Band 2, S. 537 ff., 553). Aus dem wirtschaftlichen Schadensbegriff des schweizerischen Rechts (OFTINGER, Schweizerisches Haftpflichtrecht, I S. 53) folgt sodann, dass eine bei Teilinvalidität theoretisch verbleibende Erwerbsfähigkeit haftpflichtrechtlich unberücksichtigt bleiben muss, wenn sie wirtschaftlich nicht mehr nutzbar ist, der Geschädigte somit keine Möglichkeit mehr hat, mit der ihm aus medizinischer Sicht verbliebenen Erwerbsfähigkeit ein Einkommen zu realisieren (OFTINGER, a.a.O. S. 192 ff.; STAUFFER/SCHAETZLE, Barwerttafeln, 3. Auflage, S. 36 f.; BREHM, N. 82 zu Art. 46 OR ; vgl. auch BGE 112 II 145 E. 5b). Nach den für das Bundesgericht verbindlichen tatsächlichen Feststellungen der Vorinstanz war die Klägerin vor dem zweiten Unfall noch zu 30% arbeitsfähig und hätte diese Fähigkeit auch wirtschaftlich umgesetzt. Ebenso verbindlich hat die Vorinstanz sodann festgestellt, dass die Klägerin nach dem zweiten Unfall lediglich noch zu 15% arbeitsfähig ist, indessen keine Möglichkeit hat, diese geringe verbleibende Fähigkeit wirtschaftlich zu nutzen. Zu Recht hat das Appellationsgericht daraus den Schluss gezogen, die Beklagte sei für eine Gesamteinbusse von 30% der Erwerbsfähigkeit ersatzpflichtig. Die dagegen gerichteten Einwände der Beklagten sind somit unbegründet. b) Das hypothetische jährliche Bruttoeinkommen der Klägerin von Fr. 13'200.-- hat die Vorinstanz um die zu erwartenden Soziallasten von 15% oder rund Fr. 2'000.-- gekürzt, und anschliessend das Nettoeinkommen von jährlich Fr. 11'200.-- nach den Mortalitätstafeln von STAUFFER/SCHAETZLE (Tafel 30) kapitalisiert. Die Anwendung der Mortalitäts- anstelle der Aktivitätstafeln hat sie damit begründet, dass die Beklagte nicht den Brutto-, sondern bloss den Nettolohn der Klägerin zu ersetzen habe, dabei aber auch für die nach einer Pensionierung auszubezahlenden Leistungen einstehen müsse. Unter Berufung auf BGE 104 II 309 will die Beklagte demgegenüber die Aktivitätstafeln (Tafel 20 von STAUFFER/SCHAETZLE) zur Anwendung bringen. Einer künftigen BGE 113 II 345 S. 349 Rente geht die Klägerin ihrer Auffassung nach nicht verlustig, weil ihr Verdienst in jedem Falle unter dem vom BVG versicherten Minimum gelegen hätte. aa) Einigkeit besteht bei der Bestimmung des haftpflichtrechtlich relevanten Einkommens einmal darüber, dass der für die Erzielung des Einkommens erforderliche Aufwand, die sogenannten Gewinnungskosten, nicht ersatzfähig sind ( BGE 90 II 188 ; BREHM, Vorbemerkungen zu Art. 45 und 46 OR , N. 23). Dagegen hat die Praxis die auf dem zu ersetzenden Einkommen mutmasslich zu leistenden Sozialversicherungsbeiträge in die Schadensberechnung miteinbezogen, da sie nicht Gewinnungskosten darstellen, sondern vorsorgliche Aufwendungen, dazu bestimmt, den Lebensunterhalt des Einkommensempfängers oder seiner Hinterlassenen für den Fall zu sichern, dass infolge von Unfall, Krankheit oder Alter der Arbeitsverdienst wegfällt ( BGE 90 II 188 ; BREHM, Vorbemerkungen zu Art. 45 und 46 OR , N. 24; STAUFFER/SCHAETZLE, a.a.O. S. 39). Zu ersetzen ist demnach das bloss um die Gewinnungskosten gekürzte Bruttoeinkommen. Wird kapitalisierter Schadenersatz geleistet, hat die Kapitalisierung im Regelfalle nach den Aktivitätstafeln zu erfolgen ( BGE 104 II 309 ). Entgegen diesen Grundsätzen hat die Vorinstanz in die Schadensberechnung nur das reine Nettoeinkommen der Klägerin einbezogen, dafür dieses nach den Mortalitätstafeln kapitalisiert, um der Beeinträchtigung künftiger Sozialversicherungsleistungen durch den Unfall Rechnung zu tragen. Es ist zu prüfen, ob dieses Vorgehen bundesrechtskonform ist. Auszugehen ist vom Grundsatz, dass der Haftpflichtige für den gesamten kausalen Schaden einzustehen hat, mithin auch für eine Beeinträchtigung künftiger Sozialversicherungsleistungen (BREHM, Vorbemerkungen zu Art. 45 und 46 OR , N. 25; OFTINGER, a.a.O. S. 209; MERZ, Schweizerisches Privatrecht VI/1 S. 202). Nach der einen Auffassung soll diesem Schadenselement dadurch Rechnung getragen werden, dass bei Beeinträchtigung künftiger Renten der Erwerbsausfall nicht nach den Aktivitäts-, sondern nach den Mortalitätstafeln kapitalisiert wird (GUHL/MERZ/KUMMER, Das schweizerische Obligationenrecht, S. 71; wohl auch OFTINGER, a.a.O.), nach der andern Auffassung dadurch, dass in die Kapitalisierung nach den Aktivitätstafeln - sofern nicht konkrete besondere Umstände für die Anwendung einer andern Tafel sprechen - auch die Sozialversicherungsbeiträge einbezogen werden ( BGE 90 II 188 , BREHM, Vorbemerkungen zu Art. 45 und 46 OR , N. 24 f.). Dieser Auffassung BGE 113 II 345 S. 350 ist auch weiterhin der Vorzug zu geben, da die beeinträchtigte Rente im Regelfalle quantitativ nicht dem zu ersetzenden Erwerbsausfall entspricht und im allgemeinen auch nicht vollständig entfällt, sondern lediglich wegen Ausfalls künftiger Beiträge eine Herabsetzung erfährt. Allerdings ist dann zu beachten, dass richtigerweise in die Kapitalisierung nicht nur die Arbeitnehmer-, sondern auch die die Höhe des künftigen Rentenanspruches mitbeeinflussenden, zufolge Verlustes der Erwerbsfähigkeit aber entfallenden Arbeitgeberbeiträge einzubeziehen sind (BREHM, a.a.O.). bb) Die Vorinstanz hat bei der Klägerin eine zu ersetzende Rentenbeeinträchtigung festgestellt. Inwieweit darin überhaupt eine vom Bundesgericht überprüfbare Rechtsfrage liegt, kann offenbleiben, da auf die diesbezüglichen Einwände der Beklagten ohnehin nicht einzutreten ist. Nach den Feststellungen des Appellationsgerichtes hätte die Klägerin ohne den zweiten Unfall wiederum eine Tätigkeit als Checkbeamtin bei den PTT aufgenommen, hätten sich demnach die ihr allenfalls zustehenden Rentenleistungen aus solchen der AHV und der Eidgenössischen Versicherungskasse zusammengesetzt. Bei beiden aber ist das von der Beklagten angerufene BVG-Minimum ohne Bedeutung. Die Rüge der Bundesrechtswidrigkeit ist mithin nicht rechtsgenüglich begründet ( Art. 55 Abs. 1 lit. c OG ). cc) Nach den unangefochtenen und für das Bundesgericht verbindlichen Feststellungen der Vorinstanz beträgt der Lohnausfall der Klägerin ab 1. Februar 1987 jährlich brutto Fr. 13'200.--. Die paritätischen Sozialversicherungsbeiträge belaufen sich auf jährlich je Fr. 2'000.--. Nach dem Gesagten ist mithin der Kapitalisierung ein Erwerbsausfall von Fr. 15'200.-- zugrunde zu legen. Kapitalisiert mit einem Faktor 17,63 nach Aktivitätstafel 20 von STAUFFER/SCHAETZLE (Alter 45, weiblich) ergibt sich ein haftpflichtrechtlich relevanter Schaden aus Erwerbsunfähigkeit - ohne Berücksichtigung der Kürzung aus Selbstverschulden - von rund Fr. 268'000.--.</w:t>
      </w:r>
    </w:p>
    <w:p>
      <w:r>
        <w:rPr>
          <w:b/>
        </w:rPr>
        <w:t>E. 2</w:t>
      </w:r>
    </w:p>
    <w:p>
      <w:r>
        <w:t>Den Schaden, der der Klägerin durch die Beeinträchtigung in der Haushaltführung entstanden ist, hat die Vorinstanz auf monatlich Fr. 440.-- bestimmt. Bis zum Urteilstermin hat sie ihn konkret berechnet, und insoweit ist er von der Beklagten anerkannt worden. Für die Zukunft hat die Vorinstanz diesen Schaden kapitalisiert. Die Beklagte beanstandet zu Recht nicht, dass der Schaden aus Beeinträchtigung in der Haushaltführung sich nach den Aufwendungen BGE 113 II 345 S. 351 für eine nach üblichen Ansätzen zu entschädigende Haushalthilfe bemisst (vgl. BGE 108 II 439 E. d; ZEN-RUFFINEN, JdT 1983 I 194 ff., 195). Dagegen macht sie geltend, der Aufwand für eine Haushalthilfe sei ab Ende Februar 1981, bis zu welchem Datum sie für die entsprechenden Kosten aufgekommen sei, nicht mehr unfallbedingt. Im übrigen wendet sie sich gegen die Kapitalisierung des so ermittelten Betrages nach den Mortalitätstafeln. a) Soweit die Beklagte geltend macht, seit März 1981 hätte die Klägerin auch ohne den zweiten Unfall einer Haushalthilfe bedurft, wendet sie sich gegen den natürlichen Kausalzusammenhang. Dabei handelt es sich indessen um eine im Berufungsverfahren nicht überprüfbare Tatfrage ( BGE 101 II 73 E. 3). Die Adäquanz des Kausalzusammenhanges wird zu Recht nicht in Frage gestellt. b) Ab Urteilszeitpunkt hat die Vorinstanz die Entschädigung nach Mortalität kapitalisiert. Nach Auffassung der Beklagten hätte die Kapitalisierung aufgrund einer befristeten Zeitrente erfolgen müssen, da die Klägerin ohnehin ihres angeschlagenen Gesundheitszustandes wegen über kurz oder lang eine Haushalthilfe benötigt hätte. Soweit die Beklagte damit zusätzliche Feststellungen zum Sachverhalt, d.h. zur Würdigung der konkreten Umstände des Einzelfalles, anbringt, ist auf die Berufung nicht einzutreten ( Art. 63 Abs. 2 OG ). Zu prüfen ist indessen auch hier, ob die Vorinstanz sich bei der von ihr gewählten Kapitalisierungsmethode von richtigen Grundsätzen der Schadensberechnung hat leiten lassen. Auch wenn sie einer Berücksichtigung besonderer Umstände, welche für eine überdurchschnittliche Dauer der Arbeitsfähigkeit sprechen, grundsätzlich befürworten, gehen STAUFFER/SCHAETZLE offenbar doch davon aus, die Entschädigung für Beeinträchtigungen in der Haushaltführung sei nach Aktivität zu kapitalisieren (a.a.O. S. 131 ff. sowie S. 161 Beispiel 19 und S. 404 Beispiel 78). Gleicher Auffassung ist SZÖLLÖSY (a.a.O. S. 270), wogegen BUSSY (Festschrift Assista, S. 171) eine Kapitalisierung nach Mortalität befürwortet. Das Bundesgericht hat vorerst nach Aktivität kapitalisiert ( BGE 102 II 95 ), im Falle Blein ( BGE 108 II 441 ) dagegen die Frage aufgeworfen, ob angesichts der notorischen Tatsache, dass Ehefrauen regelmässig über die statistische Aktivität hinaus die Haushaltführung besorgen, nicht ein arithmetisches oder gewichtetes Mittel zwischen Aktivität und Mortalität angewandt werden sollte. Diese differenzierte Betrachtungsweise ist von ZEN-RUFFINEN BGE 113 II 345 S. 352 (a.a.O. S. 200) begrüsst, von GRAF/SZÖLLÖSY (SJZ 81/1985 S. 225 ff.) und BREHM (Vorbemerkungen zu Art. 45 und 46 OR , NN. 41, 45 und 47 sowie N. 119 f. zu Art. 46 OR ) kritisiert worden. Gegen die im Entscheid Blein vertretene Auffassung wird einmal eingewendet, sie trage der Tatsache nicht Rechnung, dass die Aktivitätstafeln bereits auf der Annahme beruhten, noch verhältnismässig viele Frauen seien auch in höherem Alter fähig, im Haushalt mitzuarbeiten (BREHM, N. 119 zu Art. 46 OR ). An diesem Einwand ist richtig, dass die gegenwärtig angewendeten Aktivitätstafeln verglichen mit den Mortalitätstafeln lediglich dem früheren Ausscheiden aus dem Arbeitsprozess zufolge Invalidität, nicht aber zufolge Rücktrittes Rechnung tragen, was auch dem Bundesgericht nicht entgangen ist (Urteil vom 22. Mai 1984 i.S. Secura, E. 3c, in BGE 110 II 423 ff. nicht publiziert). Übersehen wird dagegen, dass erfahrungsgemäss die Aktivitätsdauer im Haushalt von derjenigen ausser Hauses wesentlich abweicht. Berufstätige Frauen führen den Haushalt - abgesehen vom Falle der Totalinvalidität - regelmässig auch fort, wenn sie die Erwerbstätigkeit aufgegeben haben. Es gilt daher, dem Unterschied zwischen Haushaltführung und Erwerbstätigkeit auch haftpflichtrechtlich Rechnung zu tragen. Besteht aber keine Veranlassung, bei der Kapitalisierung des Erwerbsausfalls von den Aktivitätstafeln abzuweichen (Urteil i.S. Secura vgt.), ist im Gegenzuge der verlängerten Aktivität der Hausfrau mit einem erhöhten Kapitalisierungsfaktor Rechnung zu tragen. Ein Mittelwert zwischen Aktivität und Mortalität entspricht dieser Zielsetzung am besten, ohne dass damit eine verpönte Zeitrente über die mittlere Aktivitätsdauer hinaus in Anschlag gebracht würde (vgl. STAUFFER/SCHAETZLE, a.a.O. S. 194). Dieser Betrachtungsweise wird entgegengehalten, sie beeinträchtige die Rechtssicherheit, da sie zu einer Kategorienbildung im Bereiche der Arbeitstätigkeiten führe. Eine solche Kategorienbildung lehnt auch die Praxis zu Recht ab (Urteil i.S. Secura vgt.). Die Tätigkeit der Hausfrau in Ehe und Familie ist nun aber keine Berufstätigkeit im herkömmlichen Sinne. Es geht nicht darum, verschiedene Kategorien von Berufstätigen zu bilden, sondern dem Umstand Rechnung zu tragen, dass die Haushaltführung auch in ihrer Dauer anderen Gesetzmässigkeiten folgt als die reine Erwerbstätigkeit. Es rechtfertigt sich deshalb, die Haushaltführung auch haftpflichtrechtlich von der Berufstätigkeit abzugrenzen, mithin Ungleichem nach Massgabe seiner Ungleichheit Rechnung zu tragen. Dagegen dringt auch der Einwand nicht BGE 113 II 345 S. 353 durch, der Geschädigte werde bereits durch die Aktivitätstafeln bevorzugt (BREHM, N. 120 zu Art. 46 OR ). Diesem Umstand wäre durch eine Anpassung der Aktivitätstafeln, nicht durch die Gleichstellung zweier ungleicher Tatbestände zu begegnen. Immerhin kann den Kritiken an der bundesgerichtlichen Auffassung dadurch Rechnung getragen werden, dass bei der Kapitalisierung der Hausfrauenentschädigung das arithmetische und nicht ein gewogenes Mittel zwischen Aktivität und Mortalität zur Anwendung gebracht wird. Das trägt dazu bei, einen unrealistischen Begriff der Aktivität zu vermeiden. c) Der von der Vorinstanz konkret berechnete Schaden bis zum Urteilstag von Fr. 31'680.-- ist zu bestätigen. Demgegenüber ist die Kapitalisierung ab dem Urteilstag nicht mit dem Faktor 20,33 (Tafel 30), sondern mit dem Faktor 18,98 (arithmetisches Mittel der Faktoren aus Tafel 30 und Tafel 20, je Alter 45, weiblich) vorzunehmen, was einen künftigen Schaden von Fr. 100'220.-- ergibt. Der Gesamtschaden der Klägerin unter diesem Titel beläuft sich damit auf Fr. 131'900.--, das sind Fr. 7'130.-- weniger als die Vorinstanz zugesprochen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