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243</w:t>
      </w:r>
    </w:p>
    <w:p>
      <w:r>
        <w:t>Bundesgericht (BGE), 1987-01-01, FR</w:t>
      </w:r>
    </w:p>
    <w:p>
      <w:r>
        <w:rPr>
          <w:b/>
        </w:rPr>
        <w:t xml:space="preserve">Quelle: </w:t>
      </w:r>
      <w:r>
        <w:t>https://mcp.opencaselaw.ch/entscheid/bge_BGE_113_II_243</w:t>
      </w:r>
    </w:p>
    <w:p>
      <w:r>
        <w:t>FR: ATF 113 II 243</w:t>
      </w:r>
    </w:p>
    <w:p>
      <w:r>
        <w:t>IT: DTF 113 II 243</w:t>
      </w:r>
    </w:p>
    <w:p>
      <w:pPr>
        <w:pStyle w:val="Heading2"/>
      </w:pPr>
      <w:r>
        <w:t>Regeste</w:t>
      </w:r>
    </w:p>
    <w:p>
      <w:r>
        <w:t>Regeste Art. 927 Abs. 1 und 928 ZGB; Art. 48 OG. Klage aus Besitzesentziehung und Besitzesstörung. Unzulässigkeit der Berufung. Entscheide der oberen kantonalen Gerichte, die lediglich den Besitzesschutz zum Gegenstand haben, sind keine Endentscheide im Sinne von Art. 48 OG und können daher nicht mit Berufung beim Bundesgericht angefochten werden (Bestätigung der Rechtsprechung).</w:t>
      </w:r>
    </w:p>
    <w:p>
      <w:r>
        <w:t>Regeste Art. 927 al. 1, 928 CC; art. 48 OJ. Réintégrande et action en raison du trouble de la possession. Irrecevabilité du recours en réforme. Les décisions des autorités cantonales de dernière instance qui ne concernent que la protection de la possession ne sont pas des décisions finales au sens de l'art. 48 OJ et ne peuvent dès lors pas être déférées au Tribunal fédéral par la voie du recours en réforme (confirmation de jurisprudence).</w:t>
      </w:r>
    </w:p>
    <w:p>
      <w:r>
        <w:t>Regesto Art. 927 cpv. 1, 928 CC; art. 48 OG. Azione di reintegra e azione di manutenzione. Inammissibilità del ricorso per riforma. Le decisioni delle autorità cantonali di ultima istanza concernenti esclusivamente la protezione del possesso non sono decisioni finali ai sensi dell'art. 48 OG e non sono quindi impugnabili dinanzi al Tribunale federale con ricorso per riforma (conferma della giurisprudenza).</w:t>
      </w:r>
    </w:p>
    <w:p>
      <w:pPr>
        <w:pStyle w:val="Heading2"/>
      </w:pPr>
      <w:r>
        <w:t>Erwägungen</w:t>
      </w:r>
    </w:p>
    <w:p>
      <w:r>
        <w:rPr>
          <w:b/>
        </w:rPr>
        <w:t>E. 1</w:t>
      </w:r>
    </w:p>
    <w:p>
      <w:r>
        <w:t>b) Selon la jurisprudence constante ( ATF 94 II 353 /354 consid. 3, ATF 85 II 279 , ATF 78 II 88 ), le recours en réforme est irrecevable contre une décision cantonale de dernière instance rendue sur une action possessoire au sens des art. 927 al. 1 et 928 al. 1 CC. En effet, BGE 113 II 243 S. 244 une telle décision n'est pas une décision finale au sens de l' art. 48 OJ . Les actions possessoires ne visent en principe qu'au rétablissement et au maintien d'un état de fait antérieur. Sous réserve de l' art. 927 al. 2 CC , qui prévoit l'exception tirée du meilleur droit, elles ne conduisent pas à un jugement sur la conformité au droit de cet état de fait, mais n'assurent au demandeur qu'une protection provisoire, car le possessoire ne préjuge pas le pétitoire: sans doute, le jugement sur l'action possessoire statue définitivement sur le rétablissement de l'état antérieur, mais une procédure engagée sur le terrain du droit peut mettre fin aux effets d'une décision portant sur la protection de la possession. Cette jurisprudence est approuvée par la majorité de la doctrine (VOYAME, Droit privé fédéral et procédure civile cantonale, RDS 1961 II p. 168/169; WURZBURGER, Les conditions objectives du recours en réforme au Tribunal fédéral, thèse Lausanne 1964, p. 195 No 265; STAEHELIN, Die objektiven Voraussetzungen der Berufung an das Bundesgericht, RDS 1975 II p. 24; HINDERLING, Der Besitz, Schweizerisches Privatrecht, V, 1, p. 457/458; GULDENER, Schweizerisches Zivilprozessrecht, 3e éd., p. 542; MEIER, Grundlagen des einstweiligen Rechtsschutzes im schweizerischen Privatrecht und Zivilverfahrensrecht, Zurich 1983, p. 116/117; STARK, Berner Kommentar, 2e éd. 1984, n. 111 des Vorbemerkungen zu Art. 926-929, modifiant, au vu de l' ATF 94 II 353 /354 consid. 3, l'opinion soutenue dans l'édition de 1966). Mais certains auteurs sont d'un avis divergent, notamment LIVER et KUMMER, dans leur compte rendu de l' ATF 94 II 353 /354 consid. 3 (les opinions de HOMBERGER, Kommentar, n. 20 ad art. 927 CC , et STAUFFER, RJB 1943, p. 557, ont été émises avant que soient rendus les arrêts examinés ici). Selon LIVER (RJB 1970 p. 67/68), il est vrai que le pétitoire absorbe le possessoire, mais il n'en demeure pas moins que l'objet du pétitoire est différent de celui du possessoire. Or, dans la procédure en protection de la possession, le possessoire est tranché définitivement. L'irrecevabilité du recours en réforme devrait pouvoir être motivée autrement. KUMMER (RJB 1970 p. 130/131) fait valoir que la prétention découlant de l'art. 927 (al. 1) CC est une prétention de droit fédéral qui n'est pas moins qu'une autre susceptible d'une décision définitive ayant force de chose jugée dans les limites de son objet. Le jugement sur l'action possessoire est provisoire uniquement BGE 113 II 243 S. 245 dans la mesure où il laisse en suspens la question de savoir si l'état de fait antérieur, tel qu'il est rétabli, correspond véritablement à la situation juridique. Mais la prétention découlant de la possession a précisément pour objet la protection de la possession et n'a pas trait à la contestation quant au droit matériel: dans le cadre ainsi tracé, le jugement est définitif. Comme on le voit, ces deux auteurs fondent leurs critiques sur la même considération, à savoir que, sur le terrain de la protection de la possession, le jugement sur l'action possessoire est définitif, lors même qu'il ne préjuge pas la question du droit à la possession. Mais le seul fait qu'une procédure sur le droit à la possession peut mettre fin aux effets d'un jugement possessoire démontre que ce jugement ne crée qu'une situation provisoire et ne tranche pas définitivement sur les droits des parties: le demandeur à l'action possessoire qui obtient l'adjudication de ses conclusions est exposé à voir cesser la protection que lui accorde le jugement si sa partie adverse établit ultérieurement qu'il n'a pas droit à la possession; inversement, si celui qui prétend à la protection de sa possession est débouté par le juge de l'action possessoire, il lui demeure loisible de faire reconnaître son droit à la possession dans une action pétitoire. Les actions des art. 927 al. 1 et 928 al. 1 CC se caractérisent ainsi comme tendant à obtenir des mesures avant dire droit, provisoires par nature (MEIER, op.cit., p. 116/117 No 3). Il ressort du texte même de ces dispositions légales (art. 927 al. 1: "Quiconque usurpe une chose en la possession d'autrui est tenu de la rendre, même s'il y prétend un droit préférable"; art. 928 al. 1: "Le possesseur troublé dans sa possession peut actionner l'auteur du trouble, même si ce dernier prétend à quelque droit sur la chose") que, dans la réintégrande comme dans l'action en raison du trouble, la question de la possession doit rester bien distincte de la question de droit. Règle générale, dans le litige relatif à la possession, le défendeur ne peut exciper du droit préférable qu'il aurait sur la chose; son droit n'est pertinent que dans l'éventualité visée à l' art. 927 al. 2 CC , soit s'il peut être établi immédiatement, en d'autres termes pour autant que l'exception du meilleur droit ne retarde pas la procédure en protection de la possession par de longues mesures probatoires (STARK, n. 65-69 des Vorbemerkungen zu Art. 926-929; n. 19 ad art. 927 CC ). Comme on l'a vu, la jurisprudence excluant le recours en réforme réserve expressément cette disposition ( ATF 94 II 353 consid. 4). BGE 113 II 243 S. 246 L'examen nouveau de la solution adoptée dans les arrêts précités, à la lumière des critiques suscitées par le plus récent d'entre eux, convainc de se tenir à cette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