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190</w:t>
      </w:r>
    </w:p>
    <w:p>
      <w:r>
        <w:t>Bundesgericht (BGE), 1987-01-01, DE</w:t>
      </w:r>
    </w:p>
    <w:p>
      <w:r>
        <w:rPr>
          <w:b/>
        </w:rPr>
        <w:t xml:space="preserve">Quelle: </w:t>
      </w:r>
      <w:r>
        <w:t>https://mcp.opencaselaw.ch/entscheid/bge_BGE_113_II_190</w:t>
      </w:r>
    </w:p>
    <w:p>
      <w:r>
        <w:t>FR: ATF 113 II 190</w:t>
      </w:r>
    </w:p>
    <w:p>
      <w:r>
        <w:t>IT: DTF 113 II 190</w:t>
      </w:r>
    </w:p>
    <w:p>
      <w:pPr>
        <w:pStyle w:val="Heading2"/>
      </w:pPr>
      <w:r>
        <w:t>Regeste</w:t>
      </w:r>
    </w:p>
    <w:p>
      <w:r>
        <w:t>Regeste Urheberrechte an Werken der angewandten Kunst. Unlauterer Wettbewerb. 1. Internationale Streitigkeit aus Urheberrecht: Anwendbares Recht. Aktivlegitimation des Lizenznehmers nach Art. 9 Abs. 2 URG oder nach Vertrag? (E. I/1). 2. Art. 1 Abs. 2 und Art. 5 URG. Möbel können als Werke der angewandten Kunst geschützt sein, wenn über eine rein handwerkmässige oder industrielle Arbeit hinaus eine Leistung erbracht wird, die auf einer selbständigen, schöpferischen Tätigkeit beruht und sich als originell erweist (E. I/2a). 3. Umstände, unter denen dies nach dem Gesamteindruck der Möbel in mehreren Fällen zu bejahen (E. I/2b und c), in einem dagegen wegen Zweifeln zu verneinen ist (E. II/1a). 4. Art. 1 Abs. 1 UWG. Unlauterer Wettbewerb durch sklavische Nachahmung von Möbelstücken, die mit einer Ausnahme sogar urheberrechtlich geschützt sind (E. II/1b). 5. Art. 42 Abs. 2 OR. Schätzung des Schadens aus widerrechtlichen Möbelverkäufen (E. II/2).</w:t>
      </w:r>
    </w:p>
    <w:p>
      <w:r>
        <w:t>Regeste Droit d'auteur sur des oeuvres d'arts appliqués. Concurrence déloyale. 1. Contestation internationale en matière de droit d'auteur: droit applicable. Qualité pour agir du preneur de licence selon l'art. 9 al. 2 LDA ou selon le contrat? (consid. I/1). 2. Art. 1 al. 2 et art. 5 LDA. Des meubles peuvent être protégés, en tant qu'oeuvres d'arts appliqués, en cas d'apport d'une prestation originale, qui sort du cadre d'un simple travail artisanal ou industriel et repose sur une activité créatrice propre (consid. I/2a). 3. Circonstances permettant d'admettre la réalisation de cette condition dans plusieurs cas, sur le vu de l'impression d'ensemble des meubles (consid. I/2b et c), mais de la nier dans un autre, le caractère d'originalité étant douteux (consid. II/1a). 4. Art. 1 al. 1 LCD. Concurrence déloyale résultant de l'imitation servile de meubles qui, sous réserve d'une exception, sont protégés également au titre du droit d'auteur (consid. II/1b). 5. Art. 42 al. 2 CO. Estimation du dommage dérivant de ventes illicites de meubles (consid. II/2).</w:t>
      </w:r>
    </w:p>
    <w:p>
      <w:r>
        <w:t>Regesto Diritto d'autore su opere delle arti applicate. Concorrenza sleale. 1. Controversia internazionale concernente il diritto d'autore: legge applicabile. Legittimazione attiva del licenziatario in base all'art. 9 cpv. 2 LDA o in base a contratto? (consid. I/1). 2. Art. 1 cpv. 2 e art. 5 LDA. I mobili possono essere protetti come opere delle arti applicate quando sia fornita una prestazione che eccede un lavoro meramente artigianale o industriale e che si fonda su di un'attività creativa propria, rivelandosi così come originale (consid. I/2a). 3. Circostanze in cui tale originalità va ammessa, secondo l'impressione generale risultante dai mobili, in vari casi (consid. I/2b, c), ma va invece esclusa in un altro caso a causa di dubbi sull'esistenza di detto carattere (consid. II/1a). 4. Art. 1 cpv. 1 LCSl. Concorrenza sleale realizzata mediante imitazione servile di mobili protetti, con una eccezione, anche dal diritto d'autore (consid. II/1b). 5. Art. 42 cpv. 2 CO. Valutazione del danno derivato da vendite illecite di mobili (consid. II/2).</w:t>
      </w:r>
    </w:p>
    <w:p>
      <w:pPr>
        <w:pStyle w:val="Heading2"/>
      </w:pPr>
      <w:r>
        <w:t>Volltext</w:t>
      </w:r>
    </w:p>
    <w:p>
      <w:r>
        <w:t>Bundesgericht (BGE) Band II 1987 BGE 113 II 190 Tribunal fédéral (ATF) Volume II 1987 BGE 113 II 190 Tribunale federale (DTF) Volume II 1987 BGE 113 II 190</w:t>
      </w:r>
    </w:p>
    <w:p>
      <w:r>
        <w:t>Regeste Urheberrechte an Werken der angewandten Kunst. Unlauterer Wettbewerb. 1. Internationale Streitigkeit aus Urheberrecht: Anwendbares Recht. Aktivlegitimation des Lizenznehmers nach Art. 9 Abs. 2 URG oder nach Vertrag? (E. I/1). 2. Art. 1 Abs. 2 und Art. 5 URG. Möbel können als Werke der angewandten Kunst geschützt sein, wenn über eine rein handwerkmässige oder industrielle Arbeit hinaus eine Leistung erbracht wird, die auf einer selbständigen, schöpferischen Tätigkeit beruht und sich als originell erweist (E. I/2a). 3. Umstände, unter denen dies nach dem Gesamteindruck der Möbel in mehreren Fällen zu bejahen (E. I/2b und c), in einem dagegen wegen Zweifeln zu verneinen ist (E. II/1a). 4. Art. 1 Abs. 1 UWG. Unlauterer Wettbewerb durch sklavische Nachahmung von Möbelstücken, die mit einer Ausnahme sogar urheberrechtlich geschützt sind (E. II/1b). 5. Art. 42 Abs. 2 OR. Schätzung des Schadens aus widerrechtlichen Möbelverkäufen (E. II/2). Regeste Droit d'auteur sur des oeuvres d'arts appliqués. Concurrence déloyale. 1. Contestation internationale en matière de droit d'auteur: droit applicable. Qualité pour agir du preneur de licence selon l'art. 9 al. 2 LDA ou selon le contrat? (consid. I/1). 2. Art. 1 al. 2 et art. 5 LDA. Des meubles peuvent être protégés, en tant qu'oeuvres d'arts appliqués, en cas d'apport d'une prestation originale, qui sort du cadre d'un simple travail artisanal ou industriel et repose sur une activité créatrice propre (consid. I/2a). 3. Circonstances permettant d'admettre la réalisation de cette condition dans plusieurs cas, sur le vu de l'impression d'ensemble des meubles (consid. I/2b et c), mais de la nier dans un autre, le caractère d'originalité étant douteux (consid. II/1a). 4. Art. 1 al. 1 LCD. Concurrence déloyale résultant de l'imitation servile de meubles qui, sous réserve d'une exception, sont protégés également au titre du droit d'auteur (consid. II/1b). 5. Art. 42 al. 2 CO. Estimation du dommage dérivant de ventes illicites de meubles (consid. II/2). Regesto Diritto d'autore su opere delle arti applicate. Concorrenza sleale. 1. Controversia internazionale concernente il diritto d'autore: legge applicabile. Legittimazione attiva del licenziatario in base all'art. 9 cpv. 2 LDA o in base a contratto? (consid. I/1). 2. Art. 1 cpv. 2 e art. 5 LDA. I mobili possono essere protetti come opere delle arti applicate quando sia fornita una prestazione che eccede un lavoro meramente artigianale o industriale e che si fonda su di un'attività creativa propria, rivelandosi così come originale (consid. I/2a). 3. Circostanze in cui tale originalità va ammessa, secondo l'impressione generale risultante dai mobili, in vari casi (consid. I/2b, c), ma va invece esclusa in un altro caso a causa di dubbi sull'esistenza di detto carattere (consid. II/1a). 4. Art. 1 cpv. 1 LCSl. Concorrenza sleale realizzata mediante imitazione servile di mobili protetti, con una eccezione, anche dal diritto d'autore (consid. II/1b). 5. Art. 42 cpv. 2 CO. Valutazione del danno derivato da vendite illecite di mobili (consid. II/2).</w:t>
      </w:r>
    </w:p>
    <w:p>
      <w:r>
        <w:t>Urteilskopf 113 II 190 36. Urteil der I. Zivilabteilung vom 5. Mai 1987 i.S. Firma X. gegen Firma Z. (Berufung) Regeste Urheberrechte an Werken der angewandten Kunst. Unlauterer Wettbewerb. 1. Internationale Streitigkeit aus Urheberrecht: Anwendbares Recht. Aktivlegitimation des Lizenznehmers nach Art. 9 Abs. 2 URG oder nach Vertrag? (E. I/1). 2. Art. 1 Abs. 2 und Art. 5 URG . Möbel können als Werke der angewandten Kunst geschützt sein, wenn über eine rein handwerkmässige oder industrielle Arbeit hinaus eine Leistung erbracht wird, die auf einer selbständigen, schöpferischen Tätigkeit beruht und sich als originell erweist (E. I/2a). 3. Umstände, unter denen dies nach dem Gesamteindruck der Möbel in mehreren Fällen zu bejahen (E. I/2b und c), in einem dagegen wegen Zweifeln zu verneinen ist (E. II/1a). 4. Art. 1 Abs. 1 UWG . Unlauterer Wettbewerb durch sklavische Nachahmung von Möbelstücken, die mit einer Ausnahme sogar urheberrechtlich geschützt sind (E. II/1b). 5. Art. 42 Abs. 2 OR . Schätzung des Schadens aus widerrechtlichen Möbelverkäufen (E. II/2). Sachverhalt ab Seite 191 BGE 113 II 190 S. 191 A.- Die Firma Z. ist eine Aktiengesellschaft nach italienischem Recht mit Sitz in Meda/Milano. Sie handelt mit Möbeln, die sie in eigenen Betrieben herstellt. In einigen Ländern hat sie Tochtergesellschaften, in anderen lässt sie die Möbel durch Lizenznehmer herstellen und vertreiben. In der Schweiz ist der Vertrieb ihrer Möbel Sache von Einzelhändlern. Die Firma Z. will aufgrund eines Lizenzvertrages ausschliesslich zur Herstellung und zum Vertrieb bestimmter Le Corbusier-Möbel berechtigt sein. Diese Möbel gehen auf Modelle zurück, die aus einer neuartigen Entwicklung in der Architektur und der Möbelkunst der 20er Jahre entstanden sind und dem unter dem Pseudonym Le Corbusier berühmt gewordenen Architekten Charles Edouard Jeanneret, dessen Vetter Pierre Jeanneret und Frau Charlotte Perriand zugeschrieben werden. Die seit Ende 1977 bestehende Firma X. in Bern handelt als Grossistin ebenfalls mit Möbeln. Sie beliefert insbesondere eine Einzelfirma, die ihrer Verwaltungsratspräsidentin und Alleinaktionärin Frau W. gehört, ferner einige Grossfirmen wie z.B. Möbel Pfister und Globus. B.- Im Juli 1982 klagte die Firma Z. gegen die Firma X. wegen Verletzung von Urheberrechten, eventuell wegen unlauteren Wettbewerbs. Sie warf der Beklagten vor, Nachahmungen von sieben Le Corbusier-Möbeln, nämlich von einem Stuhl (LC 1), zwei Polstersesseln (LC 2 und 3), drei Sofa-Versionen (LC 2 und 3) und von einem Liegestuhl (LC 4) anzubieten und zu vertreiben. Die Klägerin beantragte dem Appellationshof des Kantons Bern, der BGE 113 II 190 S. 192 Beklagten den Handel mit solchen Möbeln bei Strafe zu verbieten und sie zu Schadenersatz zu verurteilen, den sie im Verfahren auf Fr. 250'000.-- bezifferte. Der Appellationshof holte von Prof. P. ein Gutachten ein und liess den behaupteten Schaden durch einen Experten abklären. In seinem Urteil vom 14. August 1986 hielt er zusammen mit dem Gutachter die streitigen Le Corbusier-Möbel mit Ausnahme des Stuhls LC 1 für urheberrechtlich geschützte Werke der angewandten Kunst, verbot der Beklagten unter Androhung von Strafe, Nachahmungen dieser Möbel feilzuhalten, zu verkaufen oder sonstwie in Verkehr zu bringen und verurteilte sie zu Fr. 70'000.-- Schadenersatz. C.- Gegen dieses Urteil haben beide Parteien Berufung eingelegt. Die Klägerin beantragt, ihr Rechtsbegehren auch in bezug auf den Stuhl LC 1 zu schützen und den vom Appellationshof zugesprochenen Schadenersatz auf Fr. 75'200.-- zu erhöhen oder die Sache insoweit an die Vorinstanz zurückzuweisen. Die Beklagte will die Klage dagegen vollumfänglich abgewiesen wissen. Jede Partei widersetzt sich ausdrücklich den Anträgen der anderen. Erwägungen Das Bundesgericht zieht in Erwägung: I. I.1. Die Beklagte bestreitet die Aktivlegitimation der Klägerin. Sie macht insbesondere geltend, nach dem angefochtenen Urteil seien der Klägerin von der "Fondation Le Corbusier" nur die ausschliessliche Lizenz zum Herstellen und zum Vertrieb der streitigen LC-Möbelstücke erteilt, aber keine Rechte übertragen worden; sie sei daher nicht Rechtsnachfolgerin der Urheber. Aus dem Lizenzvertrag ergebe sich entgegen der Annahme der Vorinstanz keine Ermächtigung zugunsten der Klägerin, einen Prozess wegen Urheberrechtverletzungen wie ein Inhaber solcher Rechte im eigenen Namen und im eigenen Interesse zu führen; daran ändere selbst die Erklärung nichts, die Frau Charlotte Perriand der Klägerin für einen Prozess in Deutschland ausgestellt habe. Die Trennung der Sachlegitimation und der Prozessführungsbefugnis sei als Prozessstandschaft auch nach der Lehre nur unter besonderen Voraussetzungen zulässig (TROLLER, Immaterialgüterrecht II, 3. Aufl. S. 1017); der Lizenznehmer sei bloss im Zweifel befugt, das geschützte Recht im Namen des Lizenzgebers gegen Verletzungen BGE 113 II 190 S. 193 durch Dritte zu verteidigen (BLUM/PEDRAZZINI, Das schweizerische Patentrecht II, 2. Aufl. S. 506). Die Klägerin habe sich nicht auf eine Abtretung der Befugnisse berufen und dafür auch keine Beweise vorgelegt, den vorliegenden Prozess aber vollumfänglich im eigenen Namen geführt. a) Parteien und Vorinstanz sind im kantonalen Verfahren übereinstimmend davon ausgegangen, dass die Streitigkeit nach schweizerischem Recht in Verbindung mit der Berner Übereinkunft zum Schutze von Werken der Literatur und Kunst (RBÜ) gemäss der am 26. Juni 1948 in Brüssel revidierten Fassung (SR 0.231.13) zu beurteilen ist. Der Appellationshof hält dazu insbesondere fest, dass nicht nur die drei Urheber der streitigen Modelle LC 1 bis LC 4, sondern auch die Stiftung Le Corbusier als ihre Rechtsnachfolgerin sich auf diese Rechtsgrundlagen berufen können, weil zwei der Urheber die schweizerische Staatsbürgerschaft besassen ( Art. 4 Abs. 1 RBÜ ) und Frankreich, wo die streitigen Möbel erstmals an der Pariser Herbstausstellung 1929 gezeigt wurden, als Ursprungsland im Sinn der Übereinkunft anzusehen ist ( Art. 4 Abs. 3 RBÜ ). Die Parteien kommen darauf im Berufungsverfahren zu Recht nicht mehr zurück. Dass im Lizenzvertrag der Klägerin mit der Stiftung Le Corbusier, die ihren Sitz in Paris hat, seit 1971 stets französisches Recht vorbehalten worden ist, steht der Anwendung schweizerischen Rechts nicht entgegen; denn es geht nicht um eine Streitigkeit unter den Vertragsparteien, sondern um eine Auseinandersetzung einer Vertragspartei mit einer Drittfirma, die in der Schweiz gehandelt und die Klägerin angeblich hier geschädigt hat. Die Vorinstanz hatte nur eine materielle Voraussetzung für den Zuspruch des Klagebegehrens, nämlich die Aktivlegitimation der Klägerin ( BGE 107 II 85 E. 2a mit Hinweisen), nach dem Lizenzvertrag zu prüfen. b) Gemäss Art. 9 URG ist das Recht des Urhebers übertragbar (Abs. 1); die Übertragung eines im Urheberrecht enthaltenen Rechtes schliesst die Übertragung anderer Teilrechte indes nicht ein, wenn nichts Gegenteiliges vereinbart ist (Abs. 2). Als übertragen haben nach der gesetzlichen Vermutung also nur die in der Vereinbarung genannten Befugnisse zu gelten. Ob der Lizenznehmer im Falle einer Übertragung von blossen Nutzungsrechten insoweit von Gesetzes wegen auch ein selbständiges Klagerecht erlange, ist umstritten. R. MUTTENZER (Der urheberrechtliche Lizenzvertrag, S. 16 und 31) verneint die Frage, weil das ausschliessliche BGE 113 II 190 S. 194 Nutzungsrecht des Lizenznehmers nur auf der vertraglichen Pflicht des Lizenzgebers beruhe, Dritten dieselbe Benutzung nicht zu gestatten und sich ihrer selbst zu enthalten. M. RITSCHER (Der Schutz des Design, Diss. Zürich 1985 S. 113) geht davon aus, dass Teilrechte des umfassenden Herrschaftsrechtes insbesondere durch Rechtsgeschäft auf Dritte übertragen werden können, die damit praktisch eine Stellung erhielten, welche jener des Urhebers sehr ähnlich sei; aus Art. 9 URG ergebe sich, dass es sich dabei um eine eigentliche Übertragung und nicht nur um die Einräumung von Nutzungsrechten handle. Er verweist in diesem Zusammenhang auch auf Art. 381 OR . Im übrigen Immaterialgüterrecht ist die Frage ebenfalls umstritten. BLUM/PEDRAZZINI (a.a.O. S. 505/6) sind der Auffassung, dass der Lizenznehmer von Gesetzes wegen kein eigenes Recht hat, Dritte auf Patentverletzung zu belangen, dass er vom Lizenzgeber aber dazu beauftragt werden kann, sich diesfalls jedoch nicht auf eigenes, sondern auf das Recht des Auftraggebers stützt. Solche Vorbehalte machte das Bundesgericht unter Hinweis auf die Lehre auch im Markenrecht ( BGE 92 II 280 mit Zitaten). Aus ähnlichen Überlegungen ist heute ferner nach TROLLER (a.a.O. S. 1016) die Aktivlegitimation des Lizenznehmers bei Verletzung von Immaterialgüterrechten, die Gegenstand der Lizenz sind, zu verneinen. In seinen Ausführungen zu Art. 9 URG räumt dieser Autor (S. 775/76) indes ein, dass es sich wegen der vielfältigen Interessen und weil die Bestimmung Teilrechte abspalten und übertragen lässt, auch anders verhalten kann. W. OTT hält in seinen Beispielen zum Problem der unbestrittenen Sachlegitimation ebenfalls fest (in SJZ 78/1982, S. 23/24), dass der Lizenznehmer nach der herrschenden, aber bestrittenen Auffassung allein von Gesetzes wegen nicht befugt ist, wegen Verletzung eines Patentes, Musters, Modelles oder einer Marke zu klagen. c) Fragen kann sich im vorliegenden Fall daher bloss, ob die Klägerin durch den Vertrag mit der Stiftung Le Corbusier ausdrücklich zu Prozessen im eigenen Namen ermächtigt worden sei oder ob sich dies wenigstens aus dem Sinn und Zweck einer Bestimmung ergebe ( BGE 108 II 477 E. 1 und BGE 101 II 106 E. 3). Allgemeine Grundlage ist die Vereinbarung mit der Stiftung, dass der Klägerin das ausschliessliche Recht übertragen ist, die von Le Corbusier und seinen beiden Mitarbeitern entworfenen Möbel weltweit herzustellen und zu vertreiben (Ziff. I des Vertrages). Hiezu gehören u.a. die Modelle LC 1 (kleiner Stuhl mit Stahlgestell), BGE 113 II 190 S. 195 LC 2 und LC 3 (Polstersessel und Sofas mit Stahlgestell) und LC 4 (Liegestuhl mit Stahlrahmen). Nach Ziff. VI des Vertrages durfte die Klägerin in der Werbung auf die Garantie der Stiftung und ihre Ausschliesslichkeitsrechte Bezug nehmen. Es wurde ferner bestimmt, dass die Klägerin jede Nachahmung zu verfolgen habe und die Stiftung ihr dabei so gut wie möglich behilflich sein sollte. Diese Bestimmungen waren schon im Vertrag vom 1. Juni 1978 enthalten und stehen auch im geltenden vom 21. November 1982. Sie können nur dahin verstanden werden, dass die Klägerin nicht bloss verpflichtet wurde, jede Rechtsverletzung zu verfolgen, wie die Beklagte glauben machen will, sondern dass ihr damit auch alle notwendigen Befugnisse übertragen wurden, um sich Nachahmungen durch Dritte erwehren zu können. Die Stiftung behielt sich selber kein Klagerecht gegen Dritte vor; sie versprach vielmehr jede mögliche Unterstützung (toute assistance en son pouvoir), was ebenfalls nur heissen kann, dass die Klägerin ihre Rechte gegenüber Dritten in erster Linie selber zu verteidigen habe. Als Lizenznehmerin konnte die Klägerin somit bezüglich der ihr übertragenen Rechte in die Stellung der Urheber treten, sich folglich insoweit auf ein eigenes Klagerecht berufen. Dass der Lizenzvertrag sich nicht in einfachen Nutzungsrechten ohne urheberrechtliche Abwehrbefugnisse erschöpft, erhellt ferner aus den ausdrücklichen Bestätigungen von Frau Perriand und Frau Jeanneret, auf deren Erklärungen die Vorinstanz ergänzend verweist. I.2. Die Beklagte wirft dem Appellationshof in einer ausführlichen "Analyse der umstrittenen Möbelstücke" ferner vor, mit dem Gutachter zu Unrecht auf deren urheberrechtliche Schutzwürdigkeit geschlossen zu haben. Auch sie gehe davon aus, dass der Nützlichkeitszweck eines Gegenstandes die Schutzfähigkeit nicht ausschliesse; bei Gebrauchsgegenständen wie Möbeln bliebe wegen der Gebundenheit an die Nützlichkeitsfunktion jedoch wenig oder kein Platz für künstlerische Formgebung, wenn die gestalterische Individualität, wie hier, nur in der Kombination von Formen und Linien zur Geltung kommen könne. Der ästhetische Eindruck genüge nicht; es sei vielmehr zu untersuchen, welchen Einfluss die Funktion, das verwendete Material und der Stil der modernen Sachlichkeit auf die Gestaltung ausübten und welcher freie Raum dem Entwerfer noch verblieben sei. Die Schutzwürdigkeit der streitigen Modelle sei zudem unabhängig davon zu beurteilen, wer ihr Urheber sei; der Gutachter und ihm folgend die Vorinstanz BGE 113 II 190 S. 196 hätten die urheberrechtliche Individualität aber schon gestützt auf das Ansehen von Le Corbusier bejaht, ohne die Elemente der Modelle zu analysieren; mit dem Bekanntheitsgrad von Le Corbusier sei es nicht getan. Die Beklagte befasst sich sodann eingehend mit Einzelheiten der streitigen Modelle, insbesondere mit deren Elementen (Traggestell und Polster oder Kissen aus Leder), Proportionen und Flächen, wobei sie wiederholt auf "wichtige Dokumente" verweist, "die weder vom Gerichtsexperten noch vom Gericht gewürdigt worden" seien, im Berufungsverfahren aber noch berücksichtigt werden könnten, weil die Vorinstanz sie zu den Akten genommen habe. Die Übereinstimmung der Formelelemente bei den Sofas und den Polstersesseln beruhe auf der technischen Gestaltung des Gestells. Aus dem Bestreben Le Corbusiers, den Möbelbau auf die absolut notwendigen Elemente zurückzuführen, folge rechtlich, dass für die individuelle Formgebung überhaupt keine Möglichkeit bestehe; denn der ästhetische Effekt, den die Modelle LC 2 und LC 3 hervorriefen, sei zwingend mit deren technischen Elementen verbunden. Auch beim Liegestuhl LC 4 handle es sich um eine Lösung, bei der alle Elemente technisch unabdingbar gegeben seien; die Liegefläche entspreche der Körperform und die ästhetische Linie sei durch die Funktion dringend vorgegeben. a) Unter den Begriff des geschützten Werkes im Sinne von Art. 1 URG fallen konkrete Darstellungen, die nicht bloss Gemeingut enthalten, sondern insgesamt als Ergebnis geistigen Schaffens von individuellem Gepräge oder als Ausdruck einer neuen originellen Idee zu werten sind; Individualität oder Originalität gelten denn auch als Wesensmerkmale des urheberrechtlich geschützten Werkes. Am eindrücklichsten sind diese Schutzvoraussetzungen erfüllt, wenn das Werk den Stempel der Persönlichkeit seines Urhebers trägt, unverkennbar charakteristische Züge aufweist und sich von Darstellungen der gleichen Werksgattung deutlich unterscheidet. Das heisst nicht, an das Mass der geistigen Leistung, an den Grad der Individualität oder Originalität seien stets gleich hohe Anforderungen zu stellen. Das verlangte individuelle Gepräge hängt vielmehr vom Spielraum des Schöpfers ab; wo ihm von vornherein der Sache nach wenig Raum bleibt, wird der urheberrechtliche Schutz schon gewährt, wenn bloss ein geringer Grad selbständiger Tätigkeit vorliegt ( BGE 110 IV 105 , 106 II 73/74, BGE 100 II 172 , BGE 88 IV 126 und BGE 85 II 123 E. 3, je mit weiteren Hinweisen). BGE 113 II 190 S. 197 Das eine wie das andere ist auch bei Werken der angewandten Kunst zu beachten, die vom gesetzlichen Begriff miterfasst werden ( Art. 1 Abs. 2 URG am Ende). Der Gebrauchszweck steht dem Schutz eines Gegenstandes, der individuellen Charakter aufweist, nicht entgegen. Dies gilt gemäss Art. 5 URG und entgegen der Kritik von KUMMER (in Festschrift Troller S. 113 ff. und in ZBJV 117/1981 S. 156 ff.) an der Rechtsprechung des Bundesgerichts selbst für Gebrauchsgegenstände, die als Muster oder Modelle hinterlegt worden sind, aber die besonderen Schutzvoraussetzungen des URG ebenfalls erfüllen. Anders verhält es sich nur, wenn die Form des Gegenstandes durch seinen Gebrauchszweck derart bedingt oder seine Gestaltung durch vorbekannte Formen so eingeschränkt ist, dass für individuelle oder originelle Merkmale praktisch kein Raum bleibt. Trifft dies zu, so liegt ein rein handwerkliches Erzeugnis, selbst wenn es industriell hergestellt ist, und damit Gemeingut vor, das vom Schutz des Urheberrechts auszunehmen ist. Da sich eine gewisse Zurückhaltung rechtfertigt, ist darauf auch im Zweifel zu erkennen ( BGE 105 II 299 E. 3a mit Hinweisen). Für Sitz- und Liegemöbel besteht, wie aus den verschiedenen Stilrichtungen erhellt, eine Vielzahl möglicher Formen, weshalb sich nicht sagen lässt, ihre Gestaltung sei weitgehend oder sogar ausschliesslich durch den Zweck des Möbelstückes vorgegeben; das lässt sich im Ernst selbst von modernen Möbeln nicht behaupten. Eine Einschränkung ergibt sich dagegen aus den vorbestehenden Stilrichtungen, die für sich allein ebensowenig ausreichen, wie der ästhetische Wert oder die Bedeutung eines Werkes ( BGE 106 II 73 und BGE 75 II 360 mit Hinweisen). Dass Möbel den Schutz des URG gleichwohl geniessen können, unterliegt keinem Zweifel, zumal sie ständig weiterentwickelt werden; das ist grundsätzlich bereits in BGE 68 II 55 E. 2 anerkannt worden. Auch diesfalls genügt, dass über eine rein handwerkmässige oder industrielle Arbeit hinaus eine Leistung erbracht wird, die auf einer selbständigen, schöpferischen Tätigkeit beruht, sich als originell erweist und daher als künstlerisch zu werten ist. Das leuchtet namentlich dann ein, wenn ein Möbelstück sich von bisherigen Stilrichtungen klar abhebt und eine neue Richtung einleitet oder wesentlich mitbestimmt. b) Diese Voraussetzungen sind hier nach dem, was über die neuartige Entwicklung in der Architektur und in der Möbelkunst der 20er Jahre in tatsächlicher Hinsicht feststeht, erfüllt. Wie die Vorinstanz BGE 113 II 190 S. 198 zusammen mit dem Gutachter gestützt auf massgebende Quellen festhält, gilt Le Corbusier als einer der namhaftesten Vertreter einer neuen Stilrichtung, die als Funktionalismus bezeichnet wird, weil sie mit der Möblierung von Räumen höchste Funktionalität anstrebt, moderne Konstruktionstechnik in der Anwendung neuer Bauelemente, insbesondere des gebogenen Stahlrohrs, mit ästhetisch und sachlich befriedigenden Formen verbindet. Sachgerechte Verbindungen von Bauteilen sind zwar auch immer zweckmässig, aber nicht leichthin mit technisch- oder zweckbedingten Lösungen gleichzusetzen, weshalb sich entgegen der Auffassung der Beklagten nicht sagen lässt, die Gestaltung der streitigen Möbelstücke sei vom Gebrauchszweck der Gegenstände beherrscht; gleiche Sitzmöglichkeiten können nicht nur künstlerisch, sondern auch technisch auf sehr verschiedene Art gestaltet werden. Der künstlerische Eindruck der streitigen Modelle ist zudem nicht die notwendige oder gar die ausschliessliche Folge eines einzelnen Bauelementes; er wird vielmehr durch die Gestaltung, Linienführung und das Zusammenwirken aller Elemente bestimmt. Richtig ist bloss, dass die erstmalige, aber höchst einfache Verwendung des gebogenen Stahlrohrs dabei eine besondere Rolle spielt. Das ist auch zahlreichen weiteren Einwänden der Beklagten entgegenzuhalten, die in ihrer Berufung durchwegs darauf ausgeht, Einzelheiten der streitigen Modelle gesondert zu betrachten; das erhellt z.B. aus ihrem Vorwurf, "die Analyse der Formen und Linien der umstrittenen Möbel im Zusammenhang mit Funktion, Material und dem funktionalen Stil (Streben nach absoluter Sachlichkeit)" könne nicht, wie die Vorinstanz annehme, mit den Hinweisen ersetzt werden, dass Le Corbusier schöpferische Leistungen erbracht habe und seine Modelle in die Fachliteratur aufgenommen worden seien. Entscheidend ist der Eindruck, der durch die streitigen Modelle als Ganzes erweckt wird und ihre äussere Gestaltung charakterisiert, aber weder durch den Gebrauch noch durch die Herstellung der Möbel zwingend vorgegeben ist. Die Beklagte hatte keinen Anlass, die Konstruktion der Modelle, namentlich die Gestaltung der Traggestelle, aus technischen oder funktionellen Überlegungen bis ins einzelne nachzubilden (vgl. BGE 108 II 75 /76 und BGE 83 II 479 E. 2b). Davon kann umso weniger die Rede sein, als gerade den von der Beklagten eingereichten Katalogen zu entnehmen ist, dass auch sogenannte Stahlmöbel, wie die vom Gutachter angestellten Vergleiche zeigen, eine Vielfalt von Formen aufweisen können. BGE 113 II 190 S. 199 c) Daran scheitern auch die Vorbringen, mit denen die Beklagte die urheberrechtlich relevante Individualität der einzelnen Modelle zu bestreiten oder anzuzweifeln sucht, weil die Vorinstanz die Schutzwürdigkeit "ohne Analyse der Elemente" bejaht habe. Soweit sie sich dabei in tatsächlicher Hinsicht auf Dokumente beruft, die weder vom Gutachter noch vom Appellationshof bei Vergleichen der streitigen Möbelstücke mit anderen Modellen, Vorbildern oder Vorläufern berücksichtigt worden sind, erweisen sich ihre Ausführungen als blosse Kritik an der Beweiswürdigung der Vorinstanz und sind daher nicht zu hören. Das gilt insbesondere von ihren Einwänden, die den Polstersesseln LC 2 und LC 3 zugrunde liegende Idee einer kubischen Sitzform sei längst bekannt gewesen und die Idee des Traggestells in allen Varianten schon 1928 von den Vertretern des funktionalen Stils allgemein verwendet worden; für das Modell LC 3 und die Sofas fehle zudem der Beweis, dass Le Corbusier oder seine Mitarbeiter sie geschaffen hätten. Dies war im kantonalen Verfahren übrigens unbestritten; Gutachter und Vorinstanz liessen bloss offen, ob Le Corbusier und seine beiden Mitarbeiter "mit letzter Sicherheit" auch als Urheber der Sofas bezeichnet werden könnten. Gutachter und Vorinstanz hielten diese Frage aber zu Recht nicht für entscheidend, weil die beiden Sofas jedenfalls als Wiedergabe oder blosse Bearbeitung der Polstersessel im Sinne von Art. 13 Abs. 1 URG anzusehen sind, von denen sie sich nur durch die Zahl der Sitzplätze unterscheiden; das Grundmodell mit seinen charakteristischen Zügen ist auch in den Sofas deutlich wiederzuerkennen und ergibt hier wie dort den gleichen individuellen Gesamteindruck. Dass die Übereinstimmung der Formelemente bei den Sofas und bei den Sesseln auf die (gleiche) technische Gestaltung des Gestells zurückzuführen ist, anerkennt übrigens auch die Beklagte. Als Bezug von Kissen und Polster werden nach der Feststellung des Gutachters bei den nachgemachten Modellen teils auch Leder und Stoffe anderer Farben verwendet, die den massgebenden Gesamteindruck jedoch kaum beeinflussen. Für den Gutachter sind selbst kleine Unterschiede, z.B. in der Art des Stahlrohrs oder bei der oberen Aufhängung des Liegeteils am Gestell des Liegestuhls, nur bei genauerem Zusehen erkennbar. Der individuelle Charakter, der sich aus dem Gesamteindruck ergibt, fällt übrigens, wie der Gutachter mit Recht bemerkt, beim Liegestuhl LC 4 besonders auf. Für die Behauptung der Beklagten, dass er eine "klare technisch funktionale Weiterentwicklung des Modells BGE 113 II 190 S. 200 Thonet 1904" sei, ist weder dem Gutachten noch dem angefochtenen Urteil etwas zu entnehmen, und was den Versuch angeht, alle Elemente des Modells LC 4 als anatomisch oder technisch unabdingbar auszugeben, ist auf bereits Gesagtes zu verweisen. Die Schutzwürdigkeit der streitigen Möbelstücke unbekümmert um die persönlichen Feststellungen des Gutachters, dem die Vorinstanz nicht nur in rechtlicher, sondern auch in tatsächlicher Hinsicht gefolgt ist, weiterhin bestreiten zu wollen, steht der Beklagten umso weniger an, als sie ihre Erzeugnisse ausdrücklich als Kopien der Le Corbusier-Werke bezeichnet und dafür in ihrer Werbung während einiger Zeit sogar Abbildungen aus den Prospekten der Klägerin verwendet hat. Das eine wie das andere kann genau besehen nur dahin verstanden werden, dass die streitigen Modelle von Le Corbusier selbst nach Auffassung der Beklagten den individuellen Charakter während Jahrzehnten bewahrt haben, noch immer in moderne Räume passen und als "modern" angesehen werden. An der zeitlosen Gültigkeit eines Kunstwerkes kann man aber nicht nur seine Qualität, sondern seine Individualität und damit auch seine Schutzwürdigkeit am besten ermessen. II. II.1. Die Klägerin beharrt in ihrer Berufung darauf, dass auch der Stuhl LC 1 urheberrechtlich schützbar, in seiner Nachahmung durch die Beklagte jedenfalls unlauterer Wettbewerb im Sinn von Art. 1 Abs. 2 lit. d UWG zu erblicken und daher in das von ihr verlangte Verbot aufzunehmen sei. a) Der gerichtliche Gutachter, dessen Fachkenntnis von der Klägerin ausdrücklich anerkannt wird, hat am 5. Dezember 1984 alle streitigen Modelle der Klägerin und die entsprechenden Möbelstücke der Beklagten besichtigt und dabei festgestellt, dass diese mit den zum Gegenstand des Prozesses gemachten übereinstimmen. Gestützt auf die von ihm zitierten Quellen hat der Gutachter sodann nach allfälligen "Vorläufern" gesucht, welche die urheberrechtlich relevante Individualität der streitigen Modelle in Frage stellen könnten. Bezüglich des Modells LC 1 gelangte er zum Schluss, dass dazu Vorbilder mit einer gewissen Ähnlichkeit bestanden, nämlich der sogenannte Wassily-Stuhl von Breuer und der Colonial Chair, welche die von Le Corbusier geschaffene Form als nicht mehr ausreichend originell im Sinn der Praxis erscheinen liessen. BGE 113 II 190 S. 201 Der Vorinstanz ist nicht entgangen, dass der Gutachter bei diesem Schluss gezögert hat; sie hielt seine Bedenken vielmehr aus eigener Überzeugung für begründet, weil sie ebenfalls fand, dass es sich beim Modell LC 1 zwar nicht um eine gewöhnliche Möbelkonstruktion handle, ihm die unerlässiche Individualität nach ähnlichen Vorgängern aber doch abzusprechen sei. Gewiss durfte die Vorinstanz das Gutachten in tatsächlicher Hinsicht frei würdigen und war es nicht Sache des Gutachters, Rechtsfragen abschliessend zu beurteilen ( BGE 111 II 75 unten). Sie hatte aber offenbar keinen Anlass, sich über die Bedenken des Gutachters hinwegzusetzen, weshalb sie ohne Verletzung von Bundesrecht nach der in BGE 105 II 300 aufgestellten Regel im Zweifel auf ein industrielles Erzeugnis schliessen durfte. Dass die Vorinstanz, die wie der Gutachter von der hievor unter E. I/2a angeführten Praxis ausgegangen ist, Rechtsbegriffe oder Schutzvoraussetzungen verkannt habe, macht die Klägerin nicht geltend; sie will vielmehr Einzelheiten des Modells LC 1 in den Vergleichen mit Vorgängern anders gewürdigt wissen als das gerichtliche Gutachten, verfällt dabei aber teils in blosse Kritik an der Beweiswürdigung, teils in die gleiche verfehlte Betrachtungsweise wie die Beklagte, weil sie ebenfalls kleinere Unterschiede, die "schon das zweite Hinsehen" erkennen lasse, statt den Gesamteindruck für massgebend hält. Das angefochtene Urteil ist daher insoweit nicht zu beanstanden. b) Nicht beizupflichten ist der Vorinstanz dagegen in der Annahme, dass die Nachmachung des Modells LC 1 durch die Beklagte auch vom Wettbewerbsrecht nicht erfasst werde. Die Klägerin hat sich dazu im kantonalen Verfahren zwar nur dürftig geäussert, und vor Bundesgericht beruft sie sich einzig auf Art. 1 Abs. 2 lit. d UWG , weil die Beklagte einen Stuhl vertreibe, der die Form und Ausgestaltung des Modells LC 1 aufweise, und damit eine gegen Treu und Glauben verstossende Verwechslungsgefahr herbeiführe. Dass nicht nur die Kopie des Modells LC 1, sondern sämtliche streitigen Modelle, die von der Beklagten vertrieben werden, als Nachmachungen oder Nachahmungen anzusehen sind, erhellt indes schon aus dem Gutachten und ist übrigens unbestritten, da die Beklagte ihre Erzeugnisse ausdrücklich als Kopien der Le Corbusier-Werke bezeichnet und während einiger Zeit sogar unter dieser Bezeichnung dafür geworben hat. Wie in BGE 104 II 334 gestützt auf die in Art. 1 Abs. 1 UWG enthaltene Generalklausel ausgeführt wurde, ist die systematische BGE 113 II 190 S. 202 Häufung raffinierter Nachahmungen "bis an die Grenze des Unzulässigen" mit Treu und Glauben ebensowenig zu vereinbaren, wie eine einmalige genaue Nachahmung, wenn sie wie diese darauf angelegt ist, den guten Ruf des Konkurrenzerzeugnisses in schmarotzerischer Weise auszubeuten. Das wurde seither für systematisches Heranschleichen an fremde Ausstattungen wiederholt bestätigt ( BGE 108 II 74 /75 und 332, BGE 105 II 302 Nr. 49). Im Grundsatzentscheid, in dem es um BATA-Stiefel ging, wurden die gegebenen Ähnlichkeiten mit nicht geschützten Modellen dafür zwar als ungenügend erachtet. Vorliegend handelt es sich aber unstreitig um sklavische Nachbildungen ganzer Serien, wobei für die Modelle LC 2 bis LC 4 sogar Widerrechtlichkeit nach URG gegeben ist. Es ist offensichtlich, dass Nachahmer durch die anhaltende Nachfrage nach Le Corbusier-Modellen bewogen werden, die äussere Gestaltung der Modelle in allen Einzelheiten zu übernehmen, um von ihrem Ruf ebenfalls profitieren zu können. Das deckt sich mit dem Vorhalt der Beklagten, dass es der Stiftung Le Corbusier bisher nicht gelungen sei, Plagiate zu verhindern. Unter diesen Umständen rechtfertigt es sich, das Vorgehen der Beklagten als Verstoss gegen Art. 1 Abs. 1 und Abs. 2 lit. d UWG zu bezeichnen, und zwar auch mit Bezug auf das Modell LC 1, für das urheberrechtlich kein Schutz besteht. Das der Beklagten auferlegte Verbot ist daher mit der Nummer dieses Modells zu ergänzen. II.2. Die Ergänzung hat auch eine Erhöhung des Schadenersatzes zur Folge. Der Appellationshof schätzte den Gewinn, welcher der Klägerin durch die widerrechtlichen Möbelverkäufe der Beklagten entgangen ist, auf Fr. 38'425.--. Um das Verfahren nicht zu belasten, hat die Klägerin sich mit dieser Schätzung abgefunden; sie ergibt im Verhältnis des Umsatzes, der auf das Modell LC 1 entfällt, eine Erhöhung um Fr. 5'200.--. Die Beklagte wendet dagegen an sich nichts ein; sie hält die Schadensberechnungen vielmehr für gegenstandslos, weil die Klägerin weder mit der urheberrechtlichen noch wettbewerbsrechtlichen Begründung Erfolg haben könne. Ist aber davon auszugehen, dass Schätzung und Umrechnung unbestritten sind, so ist dem Antrag der Klägerin auf Erhöhung des Schadenersatzes um Fr. 5'200.-- zu entsprechen. Dispositiv Demnach erkennt das Bundesgericht: 1. Die Berufung der Klägerin wird gutgeheissen, soweit darauf einzutreten ist, und das Urteil des Appellationshofes (II. Zivilkammer) BGE 113 II 190 S. 203 des Kantons Bern vom 14. August 1986 wird aufgehoben. 2. Es wird der Beklagten verboten, die in ihrem Prospekt vom Januar 1982 angeführten Stühle, Polstersessel und Sofas feilzuhalten, zu verkaufen oder sonstwie in Verkehr zu bringen... 3. Die Beklagte wird verpflichtet, der Klägerin Fr. 75'200.-- zu bezahlen. 4. Die Berufung der Beklagten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