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113</w:t>
      </w:r>
    </w:p>
    <w:p>
      <w:r>
        <w:t>Bundesgericht (BGE), 1987-01-01, DE</w:t>
      </w:r>
    </w:p>
    <w:p>
      <w:r>
        <w:rPr>
          <w:b/>
        </w:rPr>
        <w:t xml:space="preserve">Quelle: </w:t>
      </w:r>
      <w:r>
        <w:t>https://mcp.opencaselaw.ch/entscheid/bge_BGE_113_III_113</w:t>
      </w:r>
    </w:p>
    <w:p>
      <w:r>
        <w:t>FR: ATF 113 III 113</w:t>
      </w:r>
    </w:p>
    <w:p>
      <w:r>
        <w:t>IT: DTF 113 III 113</w:t>
      </w:r>
    </w:p>
    <w:p>
      <w:pPr>
        <w:pStyle w:val="Heading2"/>
      </w:pPr>
      <w:r>
        <w:t>Regeste</w:t>
      </w:r>
    </w:p>
    <w:p>
      <w:r>
        <w:t>Regeste Instanzenzug im kantonalen Beschwerdeverfahren (Art. 13 Abs. 2 SchKG). Wo das kantonale Recht eine untere und eine obere Aufsichtsbehörde vorsieht, haben diese den Instanzenzug von Bundesrechts wegen zu beachten. Die obere Aufsichtsbehörde ist deshalb nicht befugt, eine Beschwerde als erste und einzige kantonale Instanz zu beurteilen.</w:t>
      </w:r>
    </w:p>
    <w:p>
      <w:r>
        <w:t>Regeste Voies de recours en procédure cantonale (art. 13 al. 2 LP). Lorsque le droit cantonal prévoit des autorités inférieure et supérieure de surveillance, celles-ci doivent en vertu du droit fédéral respecter le double degré de juridiction. L'autorité supérieure de surveillance ne peut donc pas statuer en première et unique instance cantonale.</w:t>
      </w:r>
    </w:p>
    <w:p>
      <w:r>
        <w:t>Regesto Rimedi giuridici della procedura cantonale (art. 13 cpv. 2 LEF). Ove il diritto cantonale preveda un'autorità di vigilanza inferiore e un'autorità di vigilanza superiore, esse devono, in virtù del diritto federale, rispettare il doppio grado di giurisdizione. L'autorità di vigilanza superiore non può quindi decidere quale autorità cantonale di prima e unica istanza.</w:t>
      </w:r>
    </w:p>
    <w:p>
      <w:pPr>
        <w:pStyle w:val="Heading2"/>
      </w:pPr>
      <w:r>
        <w:t>Erwägungen</w:t>
      </w:r>
    </w:p>
    <w:p>
      <w:r>
        <w:rPr>
          <w:b/>
        </w:rPr>
        <w:t>E. 2</w:t>
      </w:r>
    </w:p>
    <w:p>
      <w:r>
        <w:t>Der Rekurrent beanstandet hauptsächlich, dass seine bei der unteren Aufsichtsbehörde eingereichte, ausdrücklich als Ergänzung der Beschwerde vom 15. Mai 1987 bezeichnete Rechtsschrift vom 23. Mai 1987 vom Obergericht als Beschwerde gegen den Entscheid des Gerichtspräsidiums Z. vom 19. Mai 1987 behandelt wurde; es sei ihm dadurch in einer die Art. 17 ff. SchKG verletzenden Weise der Instanzenzug verkürzt worden. Weshalb sie die (an das Gerichtspräsidium Z. gerichtete) Eingabe des Rekurrenten vom 23. Mai 1987 als Beschwerde gegen den Entscheid der unteren Aufsichtsbehörde vom 19. Mai 1987 behandelt hat, legt die Vorinstanz nicht dar. In der Sache selbst führt sie aus, die untere Aufsichtsbehörde sei zu Recht auf die bereits in der Beschwerde vom 15. Mai 1987 gestellten Anträge betreffend BGE 113 III 113 S. 115 Lastenbereinigung bzw. Änderung des Lastenverzeichnisses und der Steigerungsbedingungen nicht eingetreten, so dass die Eingabe vom 23. Mai 1987 in diesem Punkt unbegründet sei. Das vom Rekurrenten ebenfalls erneuerte Begehren um Absetzung der auf den 20. Mai 1987 anberaumten Versteigerung erklärte sie unter Hinweis auf die inzwischen durchgeführte Verwertung als gegenstandslos. Sodann hielt die Vorinstanz fest, dass das vom Rekurrenten angesichts der veränderten Situation neu gestellte Begehren um Aufhebung des Steigerungszuschlags nicht Gegenstand des (mit dem Entscheid vom 19. Mai 1987 abgeschlossenen) Verfahrens vor der unteren Aufsichtsbehörde gebildet habe und dass deshalb darauf nicht einzutreten sei. Sie hat allerdings erwogen, ob sie die Eingabe zur Beurteilung dieses Antrags an die untere Aufsichtsbehörde zu überweisen habe, gelangte jedoch zur Ansicht, es könne davon abgesehen werden, weil das Begehren (aus den von ihr näher dargelegten Gründen) offensichtlich unbegründet sei. Ob die Vorinstanz auf das Begehren um Aufhebung des Steigerungszuschlags nicht eingetreten ist, oder ob sie dieses letztlich doch materiell behandelt und abgewiesen hat, ist nicht klar. Diese Unklarheit ist indessen ohne Belang, da das Vorgehen der Vorinstanz in beiden Fällen gegen Bundesrecht verstiess: Art. 13 SchKG bestimmt, dass die Kantone zur Überwachung der Betreibungs- und Konkursämter eine Aufsichtsbehörde zu bezeichnen haben (Abs. 1) und dass sie überdies für einen oder mehrere Kreise untere Aufsichtsbehörden bestellen können (Abs. 2). Das Bundesrecht schreibt den Kantonen somit nicht zwingend ein zweistufiges Beschwerdeverfahren vor. Soweit in einem Kanton - wie hier - zwei Instanzen vorgesehen sind, ist jedoch der Instanzenzug von Bundesrechts wegen einzuhalten. Das ergibt sich aus den Art. 17 und 18 SchKG , wonach bei der "Aufsichtsbehörde" Beschwerde geführt (Art. 17 Abs. 1) und deren Entscheid binnen zehn Tagen an die "kantonale Aufsichtsbehörde" weitergezogen werden kann (Art. 18 Abs. 1). Ausserdem schreibt Art. 75 Abs. 2 OG vor, dass eine Beschwerde, die bei einer dem Grade nach unzuständigen kantonalen Aufsichtsbehörde eingereicht worden ist, von Amtes wegen an die zuständige Aufsichtsbehörde weiterzuleiten ist (wobei der Zeitpunkt der Einreichung bei der unzuständigen Instanz als Zeitpunkt der Beschwerdeführung gilt). Eine direkte Anrufung der oberen kantonalen Aufsichtsbehörde ist demnach nicht zulässig (JAEGER, N. 5 zu Art. 18 SchKG ). Dass die Vorinstanz von einer Überweisung absah, ist BGE 113 III 113 S. 116 um so stossender, als der Rekurrent die Eingabe bei der richtigen Instanz ... eingereicht hatte. In Gutheissung des Rekurses ist der angefochtene Entscheid demnach aufzuheben, und die Vorinstanz ist anzuweisen, die Eingabe vom 23. Mai 1987 zur Beurteilung an das Gerichtspräsidium Z.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