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296 vom 1. Januar 1987</w:t>
      </w:r>
    </w:p>
    <w:p>
      <w:r>
        <w:t>Bundesgericht (BGE), 1987-01-01, FR</w:t>
      </w:r>
    </w:p>
    <w:p>
      <w:r>
        <w:rPr>
          <w:b/>
        </w:rPr>
        <w:t xml:space="preserve">Quelle: </w:t>
      </w:r>
      <w:r>
        <w:t>https://mcp.opencaselaw.ch/entscheid/bge_BGE_113_IB_296</w:t>
      </w:r>
    </w:p>
    <w:p>
      <w:r>
        <w:t>FR: BGE BGE 113 IB 296 du 1 janvier 1987</w:t>
      </w:r>
    </w:p>
    <w:p>
      <w:r>
        <w:t>IT: BGE BGE 113 IB 296 del 1 gennaio 1987</w:t>
      </w:r>
    </w:p>
    <w:p>
      <w:pPr>
        <w:pStyle w:val="Heading2"/>
      </w:pPr>
      <w:r>
        <w:t>Regeste</w:t>
      </w:r>
    </w:p>
    <w:p>
      <w:r>
        <w:t>Regeste Eröffnung von Verfügungen im Gebiet der direkten Bundessteuer (Art. 74 BdBSt). Hat der Steuerpflichtige einen vertraglichen Vertreter bezeichnet, muss die Behörde ihre Verfügungen durch Zustellung an diesen eröffnen. Tut sie dies nicht, ist die Eröffnung mangelhaft und darf dem Steuerpflichtigen daraus kein Nachteil erwachsen (E. 2).</w:t>
      </w:r>
    </w:p>
    <w:p>
      <w:r>
        <w:t>Regeste Notification des décisions en matière d'impôt fédéral direct (art. 74 AIFD). Dans la mesure où un contribuable a désigné un représentant contractuel, c'est à l'adresse de ce dernier que le fisc doit notifier ses décisions. S'il ne le fait pas, aucun désavantage découlant de la notification irrégulière ne peut être mis à la charge du contribuable (consid. 2).</w:t>
      </w:r>
    </w:p>
    <w:p>
      <w:r>
        <w:t>Regesto Notificazione delle decisioni in materia d'imposta federale diretta (art. 74 DIFD). In quanto un contribuente abbia designato un rappresentante contrattuale, il fisco deve notificare le proprie decisioni all'indirizzo di quest'ultimo. Se non procede in tal modo, nessun pregiudizio risultante dalla notificazione irregolare può essere posto a carico del contribuente (consid. 2).</w:t>
      </w:r>
    </w:p>
    <w:p>
      <w:pPr>
        <w:pStyle w:val="Heading2"/>
      </w:pPr>
      <w:r>
        <w:t>Erwägungen</w:t>
      </w:r>
    </w:p>
    <w:p>
      <w:r>
        <w:rPr>
          <w:b/>
        </w:rPr>
        <w:t>E. 2</w:t>
      </w:r>
    </w:p>
    <w:p>
      <w:r>
        <w:t>a) Selon l' art. 74 AIFD , tous les prononcés et décisions des autorités doivent être notifiés par écrit et mentionner les moyens de droit. 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(Archives 24, p. 327); s'agissant d'un acte soumis à réception, la notification est réputée parfaite au moment où la décision entre dans la sphère de puissance de son destinataire (GRISEL, Traité de droit administratif, BGE 113 Ib 296 S. 298 p. 876 et la jurisprudence citée). Si ce dernier devait s'attendre à recevoir une notification ou s'il s'absente pour une longue période, on peut exiger de lui qu'il prenne les mesures nécessaires pour recevoir les décisions qui lui sont adressées ( ATF 101 Ia 9 ). Ainsi, la notification à l'ancienne adresse d'un administré est valablement effectuée lorsque ce dernier s'absente pour un temps prolongé sans faire suivre son courrier, ni donner de nouvelles ou charger un tiers d'agir à sa place ( ATF 107 V 189 , ATF 102 V 243 , ATF 97 III 10 ). Parmi les mesures qui s'offrent au contribuable qui doit s'absenter figure notamment la désignation d'un représentant contractuel (Archives 40, p. 173, 27 p. 335). b) Dans le cas particulier, avant même que ne soit introduite la procédure de soustraction, l'autorité fiscale a été informée que le contribuable ne serait plus domicilié en Suisse. Il importait peu, s'agissant de notifier une décision, de savoir si le contribuable avait gardé son domicile en Suisse et se trouvait en séjour à l'étranger ou si, domicilié à l'étranger, son adresse en Suisse pouvait être considérée comme le lieu d'un séjour occasionnel. Des lettres qui lui ont été adressées au début juin 1985, l'autorité fiscale pouvait déduire qu'elle ne parviendrait pas à atteindre le recourant à son adresse genevoise. En outre, par les mêmes courriers, un mandataire se faisait connaître, et l'on pouvait raisonnablement inférer de sa correspondance qu'il représentait son client sur le plan fiscal d'une manière générale. Au demeurant, si l'administration avait des doutes sur l'étendue effective du mandat confié à l'avocat, elle devait exiger de ce dernier qu'il produise une procuration suffisante; jusqu'à ce moment, pour le moins, l'avocat devait être considéré comme le représentant attitré du contribuable. Par conséquent - conformément à la jurisprudence du Tribunal fédéral relative aux art. 73, 74 et 100 AIFD -, c'est à son adresse que le fisc aurait dû notifier ses décisions (Archives 33, p. 218; DUSS, Verfahrensrecht in Steuersachen, Zurich 1987, p. 99). Les notifications faites à une adresse où il n'était pas possible d'atteindre le recourant, alors qu'un minimum d'attention montrait que celui-ci avait désigné un représentant en Suisse, sont donc irrégulières. c) De même qu'un contribuable - qu'il soit ou non absent à l'étranger - doit se laisser opposer les erreurs commises par son représentant (Archives 27, p. 336, 40 p. 173), aucun désavantage ne doit, inversement, être mis à sa charge lorsque les autorités BGE 113 Ib 296 S. 299 fiscales procèdent à des notifications en d'autres mains que celles de ce représentant. Cette solution découle d'ailleurs par analogie de la jurisprudence relative à l' art. 38 PA (cf. ATF 99 V 182 ), applicable, en matière de droit fiscal fédéral, à la procédure de recours devant les autorités cantonales de dernière instance (cf. art. 1er al. 3 PA ). En l'espèce, l'absence de notification régulière de la décision du 19 décembre 1985 concernant l'ouverture d'une procédure en soustraction d'impôt a privé le recourant de la possibilité de se faire entendre avant que l'autorité fiscale ne mette un terme à son enquête en confirmant l'existence d'une infraction. Il convient, par conséquent, de rétablir l'intéressé dans ses droits en lui permettant de s'expliquer devant l'Administration cantonale de l'impôt fédéral direct; la correction de cette informalité implique, également, que toutes les décisions postérieures à celle du 19 décembre 1985 soient annulées. Rien ne justifie, en revanche, de mettre à néant la décision même d'ouvrir une procédure en soustraction, puisque, dûment informé de l'enquête qui le concerne, le contribuable pourra désormais faire valoir son droit d'être entendu dans une mesure conforme à la loi. La décision d'ouvrir la procédure demeure donc en vigueur et déploie tous ses effets, notamment sur le plan de la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