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236 vom 1. Januar 1987</w:t>
      </w:r>
    </w:p>
    <w:p>
      <w:r>
        <w:t>Bundesgericht (BGE), 1987-01-01, DE</w:t>
      </w:r>
    </w:p>
    <w:p>
      <w:r>
        <w:rPr>
          <w:b/>
        </w:rPr>
        <w:t xml:space="preserve">Quelle: </w:t>
      </w:r>
      <w:r>
        <w:t>https://mcp.opencaselaw.ch/entscheid/bge_BGE_113_IB_236</w:t>
      </w:r>
    </w:p>
    <w:p>
      <w:r>
        <w:t>FR: BGE BGE 113 IB 236 du 1 janvier 1987</w:t>
      </w:r>
    </w:p>
    <w:p>
      <w:r>
        <w:t>IT: BGE BGE 113 IB 236 del 1 gennaio 1987</w:t>
      </w:r>
    </w:p>
    <w:p>
      <w:pPr>
        <w:pStyle w:val="Heading2"/>
      </w:pPr>
      <w:r>
        <w:t>Regeste</w:t>
      </w:r>
    </w:p>
    <w:p>
      <w:r>
        <w:t>Regeste Art. 8 GSchG. - Verursacht eine unsachgemäss installierte Entwässerungspumpe eine Gewässerverschmutzung, so kann der Tankreviseur, welcher aufgrund der gesetzlichen Bestimmungen nicht verpflichtet war, diese Anlage zu kontrollieren, nicht als Störer im Sinne des Gesetzes bezeichnet werden (E. 4b/aa). - Ein Amt, das aufgrund der gesetzlichen Bestimmungen nicht verpflichtet war, die technischen Anlagen, welche die Gewässerverunreinigung verursacht haben, zu überprüfen, kann ebenfalls nicht als Störer im Sinne des Gesetzes betrachtet werden (E. 4b/bb).</w:t>
      </w:r>
    </w:p>
    <w:p>
      <w:r>
        <w:t>Regeste Art. 8 LPEP. - En cas de pollution provoquée par une pompe d'évacuation des eaux installée de façon non conforme, le réviseur de citernes, qui n'était pas tenu légalement de contrôler cette installation, ne saurait être qualifié de perturbateur au sens de la loi (consid. 4b/aa). - Un office, que les dispositions légales n'obligeaient pas à contrôler les installations techniques à l'origine de la pollution des eaux, ne peut pas non plus être considéré comme un perturbateur au sens de la loi (consid. 4b/bb).</w:t>
      </w:r>
    </w:p>
    <w:p>
      <w:r>
        <w:t>Regesto Art. 8 LCIA. - In caso d'inquinamento provocato da una pompa per l'evacuazione delle acque installata in modo non conforme alle prescrizioni, il revisore di serbatoi non tenuto legalmente a controllare tale impianto non può essere considerato come perturbatore ai sensi della legge (consid. 4b/aa). - Neppure un ufficio, che le norme legali non obbligano a controllare gli impianti tecnici all'origine dell'inquinamento delle acque, può essere ritenuto come perturbatore ai sensi della legge (consid. 4b/bb).</w:t>
      </w:r>
    </w:p>
    <w:p>
      <w:pPr>
        <w:pStyle w:val="Heading2"/>
      </w:pPr>
      <w:r>
        <w:t>Erwägungen</w:t>
      </w:r>
    </w:p>
    <w:p>
      <w:r>
        <w:rPr>
          <w:b/>
        </w:rPr>
        <w:t>E. 4</w:t>
      </w:r>
    </w:p>
    <w:p>
      <w:r>
        <w:t>b) Der Regierungsrat kommt in der angefochtenen Verfügung wie bereits die Direktion der öffentlichen Bauten zum Schluss, als Verursacher des Ölunfalles kämen nur die Y AG und die X AG in Frage. Demgemäss verteilte er die Kosten der antizipierten Ersatzvornahme auch nur auf diese beiden Firmen. Dieses Vorgehen rügt die Y AG in ihrer Verwaltungsgerichtsbeschwerde. Nach ihrer Auffassung müssen ausserdem die Gemeinde S. als Aufsichtsbehörde bezüglich der Bauten und der Kanalisation, der BGE 113 Ib 236 S. 238 Kanton Zürich als Aufsichtsbehörde über die Tankanlagen sowie die Tankrevisionsfirmen als Kontrollbeauftragte mit in die Verantwortung einbezogen werden. Diese Mitverursacher seien zu Unrecht nicht in die Kostentragungspflicht einbezogen worden. Wäre dies geschehen, so hätte sie selbst höchstens 20%, eventuell überhaupt keine Kosten zu übernehmen. Das Bauamt der Gemeinde S., das Gewässerschutzamt des Kantons Zürich und eventuell mehrere Tankreviseure hätten als Genehmigungs- und Kontrollinstanzen seit langem bestehende Vorschriftswidrigkeiten der Tankanlage übersehen und toleriert. Sie hätten die Bedingungen einer möglichen Gewässerverschmutzung bestehen lassen und seien daher an der Verursachung der in der Folge tatsächlich eingetretenen Gewässerverunreinigung als Verhaltensstörer mitverantwortlich. Die Y AG habe, nachdem sie alles gemacht habe, was die Aufsichtsbehörden verlangt hätten, der Überzeugung sein dürfen, über eine in jeder Hinsicht vorschriftsgemässe Tankanlage zu verfügen. Sie komme deshalb nur als (schuldlose) Zustandsstörerin in Betracht. Falls die genannten weiteren Mitverursacher nicht in die Kostentragungspflicht einbezogen würden, hält die Y AG dafür, dass die X AG, deren Verhaltensstörung als Ursache im Vordergrund stehe, weit höher als zu 60% zur Kostentragung herangezogen werden müsse. aa) Zur Verantwortung der Tankreviseure Nach Auffassung der Y AG hätten die Reviseure die Anlagen bezüglich ihrer Vereinbarkeit mit den Technischen Tankvorschriften vom 27. Dezember 1967 (TTV, SR 814.226.211) inspizieren und die diesen Vorschriften nicht entsprechenden Tatsachen der zuständigen Behörde melden müssen. Nach Art. 1 der Verordnung über den Schutz der Gewässer vor wassergefährdenden Flüssigkeiten vom 28. September 1981 (VWF, SR 814.226.21) gilt dieser Erlass unter anderem auch für Anlagen für das Lagern wassergefährdender Flüssigkeiten (lit. a) sowie für Umschlagplätze für wassergefährdende Flüssigkeiten (lit. b). Der Geltungsbereich erstreckt sich somit nicht auf den Brenner und die im Brenner eingebauten Förderpumpen. Die Ausrüstung des Tankreviseurs wäre hiefür nach Auffassung des Eidgenössischen Departements des Innern (EDI) auch gar nicht geeignet (vgl. dazu Art. 47 lit. c VWF). Die genannte Verordnung, deren Art. 12 Abs. 1 die Grundlage für die TTV bildet, gilt auch nicht für Abwasseranlagen BGE 113 Ib 236 S. 239 (Art. 1 Abs. 2 lit. h VWF). Der Reviseur hat nach den Darlegungen des EDI im Revisionsrapport zwar den Bodenablauf im Heizraum zu vermerken, weitere diesbezügliche Aufgaben kommen ihm aber nicht zu. Die automatische Lenzpumpe, welche den Unfall mitverursacht hat, befand sich aber nicht im Heizkeller, sondern im von diesem durch eine 15 cm hohe Schwelle abgetrennten Energiekanal. Diese Pumpe liegt, wie die Y AG selbst ausführt, "weit von der schadhaft gewordenen Pumpe entfernt und hat überhaupt keinerlei technische oder funktionelle Beziehung zur Ölzuleitung vom Aussenlager zum Heizkessel (Distanz 26 m)". Sie liegt somit klar ausserhalb des Verantwortungsbereichs des Tankreviseurs. Die Y AG bezeichnet als Tankreviseur nur die Z AG. Weitere Revisionsfirmen sind nicht bekannt, und es finden sich in den Akten auch keine Anhaltspunkte darüber. Die Z AG hat am 25./26. Mai 1981 und am 20./21. Juli 1981 Revisionsarbeiten für die Y AG durchgeführt. Damals galt noch die VWF vom 19. Juni 1972 (AS 1972, 986 ff.). Die VWF vom 28. September 1981 trat erst am 1. November 1981 in Kraft. Kanalisationen und Sickerwasserlenzpumpen gehörten auch nach der VWF 1972 nicht zu den von dieser und den TTV geregelten Anlagen (vgl. Art. 1 Abs. 2 und Art. 7 Abs. 1 lit. a VWF 1972). bb) Zur Verantwortung der Gewässerschutzbehörde Nicht viel anders liegen die Dinge in bezug auf das Amt für Gewässerschutz und Wasserbau des Kantons Zürich. Dieses Amt hat am 1. November 1982 bestätigt, dass die Stehtankanlage bezüglich Leckerkennung bei den Tanks, Dichte der Auffangbassins, Füllsicherungssystem und Umschlagplatz aufgrund der ausgeführten Sanierungsarbeiten und der entsprechenden Detailprüfungen in allen Belangen den Gewässerschutzvorschriften entspricht. Gleichzeitig hat es den Revisionsturnus von 5 auf 10 Jahre erhöht. Diese Amtshandlung ist nicht zu beanstanden, ist doch an der Tankanlage auch heute noch nichts auszusetzen. Die genannte Bestätigung erfolgte im Zusammenhang mit der Anpassung einer Altanlage nach Art. 57 VWF. Sie bezog sich deshalb nur auf die Vorschriften der VWF und der TTV, welche nicht verletzt worden sind. Die in Art. 13 f. Gewässerschutzgesetz (GSchG) genannten Pflichten treffen bezogen auf den vorliegenden Fall in erster Linie den Monteur der X AG sowie den Eigentümer der Einrichtungen und Anlagen, welche eine Gewässerverunreinigung bewirken können. BGE 113 Ib 236 S. 240 Die Kontrollmassnahmen gemäss Art. 6 GSchG können zwar in gewissen Fällen zur Entlastung der Zustandsstörer beitragen, aber dies ist nicht ihr Zweck, wie es die Y AG anzunehmen scheint. Neben der X AG hat vor allem sie durch die unsachgemäss installierte Lenzpumpe (automatische Einschaltung und Anbringung der Warnautomatik am falschen Ort) den Ölunfall verursacht. Diese Wasserpumpe stellt, wie vorn festgestellt (E. 4b/aa), keine durch die VWF 1981 und die TTV geregelte Anlage dar. Gleich verhält es sich mit dem Meteorwasserkanal. Das Amt für Gewässerschutz und Wasserbau war demnach grundsätzlich nicht verpflichtet, diese Abwasseranlagen bei der Abnahme der sanierten Tankanlage und der zugehörigen Rohrleitungen zu überprüfen. Die unsachgemäss angebrachte Pumpen- und Warnautomatik bewirkten aber letztlich, ausgelöst durch das wegen des Montagefehlers an der Ölpumpe ausgeflossene Öl, die Gewässerverunreinigung. Die Kontrollpflicht des Amtes für Gewässerschutz und Wasserbau steht damit in keinem Zusammenhang. cc) Verantwortung des Bauamtes der Gemeinde S. Die Baukommission der Gemeinde S. bewilligte am 12. November 1968 eine Abwasserleitung samt Pumpe im Energiekanal des Kesselhauses. Diese Bewilligung beruhte aber auf der Annahme, das durch die Pumpe geförderte Wasser werde über die damals bestehende Mischwasserkanalisation abgeleitet. Wäre diese Pumpe 1983 immer noch an eine solche Mischwasser- und nicht an eine Meteorwasserleitung angeschlossen gewesen, so hätte keine Gewässerverschmutzung erfolgen können. Die Umhängung der Entwässerungspumpe an die Reinwasserleitung erfolgte 1973. Darüber gibt es allerdings keine Unterlagen. Jedenfalls besteht keine Bewilligung zum Anschluss an die Meteorwasserleitung, wie dies Art. 13 der Verordnung über die Wasseranlagen der Gemeinde vom 30. Juni 1967 vorschreibt. Zudem wäre, wie der Regierungsrat zutreffend ausführt, für diese Art der Entsorgung gemäss Art. 18 Abs. 1 GSchG eine Bewilligung des Kantons erforderlich gewesen. Auch eine solche wurde nicht eingeholt. Ebenso fehlt eine Bewilligung für die Pumpe zur automatischen Entwässerung des Energiekanals. Bei dieser Pumpe wurde zudem der Alarmfühler so angebracht, dass ein Alarm erst ausgelöst worden wäre, wenn die Anlage völlig in der Flüssigkeit untergetaucht wäre. Diese automatische Pumpe muss mit dem so montierten Alarmfühler und der BGE 113 Ib 236 S. 241 direkten Ableitung in den Bach im Blick auf das hohe Gefährdungspotential des mit dem Heizraum verbundenen Energiekanals als Werkmangel betrachtet werden. Die Y AG erklärt, es sei unglaubwürdig, dass sie die umfangreiche und aufwendige Umstellung der Entwässerung des Energiekanals vom Misch- zum Trennsystem, die ihr zudem keinen Vorteil gebracht habe, unaufgefordert und ohne detaillierte Genehmigung von sich aus unternommen habe. Ebenso unglaubwürdig sei, dass das Bauamt, welches diese Umstellung in der ganzen Gemeinde veranlasst habe, sie, die Y AG, vergessen habe. Sie müsse von der Gemeinde aufgefordert worden sein, die nötigen Anpassungsmassnahmen vorzuschlagen und durchzuführen. Dies ist indessen nicht bewiesen. Die Akten liefern keinerlei Anhaltspunkte dafür. Aber selbst wenn die Gemeinde eine solche Aufforderung an die Y AG gerichtet hätte, was wahrscheinlich ist, so kann nicht angenommen werden, dass sie die Entwässerung in den Meteorwasserkanal mit automatischer Pumpe und unsachgemäss angebrachtem Warnsystem verlangt und bewilligt hatte. Die Hauptursache des Ölunfalles, soweit ihn die Y AG zu verantworten hat, liegt aber gerade in dieser Pumpen- und Alarmautomatik begründet. Der Regierungsrat hat somit zu Recht verneint, dass das Bauamt der Gemeinde S. eine Mitverantwortung am Ölunfall trägt. dd) Diese Erörterungen führen zum Ergebnis, dass der Regierungsrat in zutreffender Weise nur die X AG sowie die Y AG als Störerinnen zur Tragung der Kosten der antizipierten Ersatzvornahme herangezogen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