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212 vom 1. Januar 1987</w:t>
      </w:r>
    </w:p>
    <w:p>
      <w:r>
        <w:t>Bundesgericht (BGE), 1987-01-01, DE</w:t>
      </w:r>
    </w:p>
    <w:p>
      <w:r>
        <w:rPr>
          <w:b/>
        </w:rPr>
        <w:t xml:space="preserve">Quelle: </w:t>
      </w:r>
      <w:r>
        <w:t>https://mcp.opencaselaw.ch/entscheid/bge_BGE_113_IA_212</w:t>
      </w:r>
    </w:p>
    <w:p>
      <w:r>
        <w:t>FR: BGE BGE 113 IA 212 du 1 janvier 1987</w:t>
      </w:r>
    </w:p>
    <w:p>
      <w:r>
        <w:t>IT: BGE BGE 113 IA 212 del 1 gennaio 1987</w:t>
      </w:r>
    </w:p>
    <w:p>
      <w:pPr>
        <w:pStyle w:val="Heading2"/>
      </w:pPr>
      <w:r>
        <w:t>Regeste</w:t>
      </w:r>
    </w:p>
    <w:p>
      <w:r>
        <w:t>Regeste Autonomie der Stadt Winterthur beim Beschluss über eine Volksinitiative im Bereich des öffentlichen Verkehrs. Ist streitig, ob eine kommunale Volksinitiative gegen kantonales Recht verstosse, fragt sich, ob die Gemeinde auf dem Gebiet, welches die Initiative beschlägt, autonom sei (E. 3).</w:t>
      </w:r>
    </w:p>
    <w:p>
      <w:r>
        <w:t>Regeste Autonomie de la Ville de Winterthour pour décider du sort d'une initiative populaire lancée en matière de transports publics. En cas de contestation sur le point de savoir si une initiative populaire communale est contraire au droit cantonal, il faut se demander si la commune est autonome dans le domaine couvert par l'initiative (consid. 3).</w:t>
      </w:r>
    </w:p>
    <w:p>
      <w:r>
        <w:t>Regesto Autonomia della Città di Winterthur per decidere su di un'iniziativa popolare in materia di trasporti pubblici. Ove sia litigioso se un'iniziativa popolare comunale sia contraria al diritto cantonale, occorre esaminare se il Comune sia autonomo nell'ambito oggetto dell'iniziativa (consid. 3).</w:t>
      </w:r>
    </w:p>
    <w:p>
      <w:pPr>
        <w:pStyle w:val="Heading2"/>
      </w:pPr>
      <w:r>
        <w:t>Erwägungen</w:t>
      </w:r>
    </w:p>
    <w:p>
      <w:r>
        <w:rPr>
          <w:b/>
        </w:rPr>
        <w:t>E. 3</w:t>
      </w:r>
    </w:p>
    <w:p>
      <w:r>
        <w:t>Eine Gemeinde ist in einem Sachbereich autonom, wenn das kantonale Recht diesen Bereich nicht abschliessend ordnet, sondern ihn ganz oder teilweise der Gemeinde zur Regelung überlässt und ihr dabei eine relativ erhebliche Entscheidungsfreiheit einräumt ( BGE 112 Ia 63 E. 3a, 270 E. 2a, 282 E. 3a; BGE 111 Ia 253 E. 3, 331 E. 2; BGE 110 Ia 206 E. 2a; je mit Hinweisen). a) Die Gemeinde ficht einen kantonalen Entscheid über die Gültigkeit einer Initiative an. Auf dem Gebiet des Wahl- und Abstimmungsrechts, zu dem auch die Ordnung über die Initiativen gehört (vgl. dazu die § 96 bis 98 des Gesetzes über das Gemeindewesen vom 6. Juni 1926), geniessen die zürcherischen Gemeinden grundsätzlich keine Autonomie ( BGE 103 Ia 320 ff., 487 ff.; vgl. auch BGE 109 Ia 45 E. 2c). b) Freilich stellt sich die Frage hier unter einem besonderen Aspekt. Streitig ist, ob die Initiative wegen Verstosses gegen übergeordnetes kantonales Recht ungültig sei. Dies bedingt die Anwendung des kantonalen Gesetzes über die Staatsbeiträge für die Verkehrsbetriebe der Städte Zürich und Winterthur vom 2. Dezember BGE 113 Ia 212 S. 214 1984 (Staatsbeitragsgesetz). Es geht dabei um die Ordnung des öffentlichen Verkehrs. Der Regierungsrat des Kantons Zürich macht nicht geltend, der Kanton habe für diesen Bereich eine abschliessende Regelung getroffen. Es ist deshalb davon auszugehen, dass der Gemeinde Winterthur auf diesem Gebiet grundsätzlich eine relativ erhebliche Entscheidungsfreiheit zusteht. Da die zürcherischen Gemeinden nur innerhalb der Schranken von Verfassung und Gesetz autonom sind (Art. 48 KV) und derartige verfassungsmässige Schranken weder behauptet noch ersichtlich sind, reicht diese Autonomie aber nur so weit, als dies die kantonalen Gesetze zulassen. Bei dieser Rechtslage darf nämlich der kantonale Gesetzgeber durch Gesetzesänderung die von ihm einmal gezogenen Schranken nachträglich enger ziehen, solange nicht irgendwelche unmittelbar durch die Verfassung gewährleisteten Befugnisse oder Anforderungen berührt werden (vgl. BGE 103 Ia 195 E. 3 mit Hinweis). (Das Bundesgericht stellt fest, dass der Regierungsrat des Kantons Zürich nicht in Willkür verfallen ist, wenn er die Initiative "für die Einführung eines Umweltabonnements bei den städtischen Verkehrsbetrieben" als nicht kantonalrechtskonform bezeichnet und sie demzufolge als ungültig erklärt hat. Die staatsrechtliche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