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17 vom 1. Januar 1987</w:t>
      </w:r>
    </w:p>
    <w:p>
      <w:r>
        <w:t>Bundesgericht (BGE), 1987-01-01, DE</w:t>
      </w:r>
    </w:p>
    <w:p>
      <w:r>
        <w:rPr>
          <w:b/>
        </w:rPr>
        <w:t xml:space="preserve">Quelle: </w:t>
      </w:r>
      <w:r>
        <w:t>https://mcp.opencaselaw.ch/entscheid/bge_BGE_113_IA_17</w:t>
      </w:r>
    </w:p>
    <w:p>
      <w:r>
        <w:t>FR: BGE BGE 113 IA 17 du 1 janvier 1987</w:t>
      </w:r>
    </w:p>
    <w:p>
      <w:r>
        <w:t>IT: BGE BGE 113 IA 17 del 1 gennaio 1987</w:t>
      </w:r>
    </w:p>
    <w:p>
      <w:pPr>
        <w:pStyle w:val="Heading2"/>
      </w:pPr>
      <w:r>
        <w:t>Regeste</w:t>
      </w:r>
    </w:p>
    <w:p>
      <w:r>
        <w:t>Regeste Art. 4 BV; Legitimation des Nachbarn zur Anfechtung einer Baubewilligung. Die Basler Praxis, wonach ein Bauvorhaben den Nachbarn unmittelbar berühren muss, um seine Rekursberechtigung zu begründen, ist nicht verfassungswidrig; sie stimmt mit der bundesgerichtlichen Rechtsprechung zu Art. 103 lit. a OG überein.</w:t>
      </w:r>
    </w:p>
    <w:p>
      <w:r>
        <w:t>Regeste Art. 4 Cst.; qualité du voisin pour recourir contre une autorisation de construire. La pratique bâloise qui veut qu'un voisin ne soit habilité à recourir que s'il est directement touché par un projet de construction n'est pas contraire à la Constitution; elle est en accord avec la jurisprudence rendue par le Tribunal fédéral sur la base de l'art. 103 let. a OJ.</w:t>
      </w:r>
    </w:p>
    <w:p>
      <w:r>
        <w:t>Regesto Art. 4 Cost.; legittimazione del vicino a ricorrere contro una licenza edilizia. Non è contraria alla Costituzione la prassi basilese secondo cui un vicino è legittimato a ricorrere soltanto se è toccato direttamente dal progetto edilizio; tale prassi corrisponde alla giurisprudenza del Tribunale federale relativa all'art. 103 lett. a OG.</w:t>
      </w:r>
    </w:p>
    <w:p>
      <w:pPr>
        <w:pStyle w:val="Heading2"/>
      </w:pPr>
      <w:r>
        <w:t>Erwägungen</w:t>
      </w:r>
    </w:p>
    <w:p>
      <w:r>
        <w:rPr>
          <w:b/>
        </w:rPr>
        <w:t>E. 3</w:t>
      </w:r>
    </w:p>
    <w:p>
      <w:r>
        <w:t>§ 13 VRPG bezeichnet denjenigen als zur Verwaltungsgerichtsbeschwerde berechtigt, der durch die angefochtene Verfügung berührt ist und ein schutzwürdiges Interesse an deren Aufhebung oder Änderung hat. Diese Umschreibung der Rekursberechtigung deckt sich mit derjenigen des Art. 103 lit. a OG für die Verwaltungsgerichtsbeschwerde an das Bundesgericht. Die Umschreibung deckt sich ferner mit der Vorschrift der baselstädtischen Verordnung über das Baubewilligungsverfahren und die Bauaufsicht vom 27. Januar 1976 über die Legitimation zum Rekurs an die Baurekurskommission. Rekurrieren kann, wer durch eine Verfügung des Bauinspektorates berührt ist und ein schutzwürdiges Interesse an deren Aufhebung oder Änderung hat. a) Auch wenn die kantonalen Instanzen - was zu begrüssen ist - bei der Anwendung der Regeln über die Berechtigung zur Verwaltungsbeschwerde und zur Verwaltungsgerichtsbeschwerde die bundesgerichtliche Praxis zu Art. 103 lit. a OG berücksichtigen, so ändert dies nichts daran, dass es in der vorliegenden Sache ausschliesslich um die Anwendung von Vorschriften des kantonalen Verwaltungsverfahrensrechts geht. Die Vorschrift von Art. 33 des eidgenössischen Raumplanungsgesetzes, wonach die Kantone gegenüber Nutzungsplänen einen der Verwaltungsgerichtsbeschwerde an das Bundesgericht entsprechenden Rechtsschutz gewährleisten müssen, kommt auf das Baubewilligungsverfahren nicht zur Anwendung, auch wenn Art. 22 RPG die Baubewilligungspflicht als bundesrechtliches Gebot vorschreibt. Geht es somit ausschliesslich um die Anwendung einer Regel des kantonalen Verwaltungsverfahrens- und Prozessrechts, so hat das Bundesgericht deren Anwendung nur unter dem Gesichtswinkel der Willkür zu überprüfen ( BGE 112 Ia 122 E. 3 mit Hinweis; ALFRED KUTTLER, Fragen des Rechtsschutzes gemäss dem Bundesgesetz über die Raumplanung, ZBl 83/1982 S. 334 f.). Der Ausgang der Sache hängt somit davon ab, ob das Verwaltungsgericht in willkürlicher Anwendung von § 13 VRPG die Legitimation der Beschwerdeführer zur Verwaltungsgerichtsbeschwerde verneint hat. Nach der Rechtsprechung liegt Willkür nicht schon dann vor, wenn eine andere Lösung in Betracht zu ziehen oder BGE 113 Ia 17 S. 20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112 Ia 27 E. 1c; BGE 111 Ia 19 , 178, je mit Hinweisen). Von Willkür im dargelegten Sinne kann entgegen der Auffassung der Beschwerdeführer klarerweise nicht die Rede sein. b) Das Bundesgericht hat bereits wiederholt anerkannt, dass die kantonalen Rekursinstanzen eine mit Art. 103 lit. a OG übereinstimmende Regel des kantonalen Prozessrechts in einem gegenüber seiner eigenen Rechtsprechung engeren Sinne anwenden dürfen, ohne deswegen in Willkür zu verfallen. So hat es einen Entscheid des Luzerner Verwaltungsgerichts, mit dem in Anwendung einer mit Art. 103 lit. a OG übereinstimmenden kantonalen Regel ein Nachbar lediglich befugt erklärt wurde, sich auf die Verletzung von Grenz- und Gebäudeabständen gegenüber seiner eigenen Parzelle zu berufen, nicht jedoch eine Verletzung dieser Abstände auf dem Baugrundstück sowie gegenüber anderen Grenzen geltend zu machen, als nicht willkürlich bezeichnet (BGE vom 26. Februar 1982, ZBl 83/1982 E. 2b S. 302 f.; s. auch BGE 112 Ia 122 f. E. 3/4). Das Bundesgericht hat zwar zum Ausdruck gebracht, dass man sich fragen könne, ob der Nachbar nicht mehr als irgendein Dritter beeinträchtigt sei, da nur zwei statt drei geplante Häuser gebaut werden könnten, falls die Einwendungen bei materieller Prüfung als begründet erachtet worden wären (ZBl 83/1982 E. 3b S. 304 oben). In der vorliegenden Sache sind entsprechende Zweifel nicht angebracht. Die Beschwerdeführer erklären in ihrer Rekursbegründung an das Verwaltungsgericht ausdrücklich, sich auf die Anfechtung des Entscheides der Baurekurskommission hinsichtlich der Höhe des Bauprojektes und der Verletzung der öffentlichrechtlichen Grenz- und Gebäudeabstandsvorschriften zu beschränken. Auf die Frage der Bebauungs- bzw. Nutzungsziffer gehen sie nicht ein (S. 2 der Rekursbegründung). Es ist somit davon auszugehen, dass unter dem Gesichtspunkt des Nutzungsmasses der vorgesehene erdgeschossige Anbau eines Wohnraumes nicht zu beanstanden ist. Die behauptete Verletzung der Grenz- und Gebäudeabstandsvorschriften betrifft die Beschwerdeführer nicht, beziehen sich doch die fraglichen Abstände auf die benachbarten Parzellen 2276 und 2772. Desgleichen berührt die Gebäudehöhe des erdgeschossigen Anbaues von rund 2,50-4,50 m die BGE 113 Ia 17 S. 21 Beschwerdeführer nicht. Der Anbau ist - was unbestritten ist und sich auch aus den Plänen ergibt - vom Haus der Beschwerdeführer aus nicht einsehbar. Auch wenn sich im verwaltungsgerichtlichen Beschwerdeverfahren Nachbarn ebenfalls auf Normen berufen können, die nicht speziell ihren Schutz bezwecken, so ist es keineswegs willkürlich, wenn das Verwaltungsgericht festgestellt hat, dies genüge nicht zur Begründung ihrer Legitimation. Die Verwaltungsrechtspflegeinstanzen sind nämlich nicht Aufsichtsbehörden, welche ohne Rücksicht auf die Frage, ob ein Beschwerdeführer in schutzwürdigen Interessen verletzt ist, die objektiv richtige Rechtsanwendung durch die Verwaltung zu überprüfen haben. Die Beschwerdeführer scheinen zu übersehen, dass es sich bei der Verwaltungsgerichtsbeschwerde nicht um eine Popularbeschwerde handelt. c) Dass die Baurekurskommission auf die Beschwerde eingetreten ist, ändert nichts daran, dass das Verwaltungsgericht die Prozessvoraussetzung der Beschwerdelegitimation unabhängig und umfassend zu prüfen hat. Der Gedanke, das Gericht habe nicht "ohne Not" von der Rechtsauffassung der Vorinstanz abzuweichen, ist abwegig. Im übrigen war vor der Baurekurskommission, worauf die privaten Beschwerdegegner zutreffend hinweisen, auch die Frage des Nutzungsmasses umstritten, was zu einer unterschiedlichen Beurteilung der Legitimationsfrage führen konnte. d) Als schutzwürdiges Interesse machen die Beschwerdeführer, wie bereits vor Verwaltungsgericht, einzig geltend, die Bewilligung des Vorhabens ziehe zwangsläufig die Einrichtung einer neuen Heizung im bestehenden Garagebau und damit die ursprünglich geplante Überdeckung der Autoabstellplätze entlang ihrer Nachbargrenze nach sich. Wenn das Verwaltungsgericht diese Hypothese nicht als ausreichend bezeichnet hat, um das für die Rekursberechtigung verlangte schutzwürdige Interesse anzunehmen, so kann ihm keineswegs Willkür vorgeworfen werden. Selbst wenn mit einer Änderung der Heizungsanlage gerechnet werden muss, so steht keineswegs fest, dass hiefür der bestehende Garagebau in Anspruch genommen werden muss. Es ist nicht auszuschliessen, dass ein anderes Heizsystem gewählt wird, das mit einem geringeren Platzbedarf auskommt. Abgesehen hievon ist entscheidend, dass die Verwirklichung einer überdeckten Abstellfläche oder eines Garagegebäudes entlang der Nachbargrenze zur Liegenschaft der Beschwerdeführer ein neues Baubegehren voraussetzt. Im Bewilligungsverfahren erhalten die Beschwerdeführer erneut Gelegenheit, BGE 113 Ia 17 S. 22 ihre Recht zu wahren. Wenn das Verwaltungsgericht verlangt, dass ein Bauvorhaben die Nachbarn unmittelbar berühren muss, um ihre Rekursberechtigung zu begründen, so steht dies durchaus mit der bundesgerichtlichen Rechtsprechung zu Art. 103 lit. a OG in Übereinstimmung. Nur in diesem Falle ist ein Beschwerdeführer persönlich und mehr als jedermann daran interessiert, dass die angefochtene Verfügung aufgehoben oder geändert und somit das Rechtsverhältnis gegenüber dem Adressaten anders geregelt wird ( BGE 112 Ia 122 f. E. 4 mit Hinweisen; FRITZ GYGI, Bundesverwaltungsrechtspflege, 2. Aufl., S.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