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97</w:t>
      </w:r>
    </w:p>
    <w:p>
      <w:r>
        <w:t>Bundesgericht (BGE), 1986-01-01, DE</w:t>
      </w:r>
    </w:p>
    <w:p>
      <w:r>
        <w:rPr>
          <w:b/>
        </w:rPr>
        <w:t xml:space="preserve">Quelle: </w:t>
      </w:r>
      <w:r>
        <w:t>https://mcp.opencaselaw.ch/entscheid/bge_BGE_112_V_97</w:t>
      </w:r>
    </w:p>
    <w:p>
      <w:r>
        <w:t>FR: ATF 112 V 97</w:t>
      </w:r>
    </w:p>
    <w:p>
      <w:r>
        <w:t>IT: DTF 112 V 97</w:t>
      </w:r>
    </w:p>
    <w:p>
      <w:pPr>
        <w:pStyle w:val="Heading2"/>
      </w:pPr>
      <w:r>
        <w:t>Regeste</w:t>
      </w:r>
    </w:p>
    <w:p>
      <w:r>
        <w:t>Regeste Art. 104, 105, 132 OG: Überprüfungsbefugnis des Eidg. Versicherungsgerichts im Beschwerdeverfahren betreffend Rückforderung von Versicherungsleistungen und betreffend Erlass der Rückerstattung (Erw. 1b). Art. 47 Abs. 1 AHVG, Art. 76 und 78 AHVV, Art. 77 und 88bis Abs. 2 lit. b IVV: Rückerstattung einer zu Unrecht bezogenen Invalidenrente. - Sowohl der bevormundete Versicherte als auch sein Vormund sind meldepflichtig, wenn das Mündel eine Erwerbstätigkeit aufnimmt (Erw. 2a). - Der Vormund ist nicht rückerstattungspflichtig (Erw. 2b). - Bei der Prüfung der Meldepflichtverletzung hat sich der Versicherte das Verhalten seines Vormunds anrechnen zu lassen (Erw. 3b). Art. 47 Abs. 1 AHVG: Erlass der Rückerstattung. - Eine leichte Meldepflichtverletzung schliesst die Annahme des guten Glaubens nicht aus (Erw. 2c). - Der Versicherte hat sich den guten oder bösen Glauben des Vormunds anrechnen zu lassen; hingegen ist die Frage der grossen Härte einzig in der Person und nach den Verhältnissen des Versicherten zu prüfen (Erw. 3c).</w:t>
      </w:r>
    </w:p>
    <w:p>
      <w:r>
        <w:t>Regeste Art. 104, 105, 132 OJ: Pouvoir d'examen du Tribunal fédéral des assurances dans la procédure de recours relative d'une part à la restitution de prestations d'assurance et d'autre part à la remise de l'obligation de restituer (consid. 1b). Art. 47 al. 1 LAVS, art. 76 et 78 RAVS, art. 77 et 88bis al. 2 let. b RAI: Restitution d'une rente d'invalidité perçue à tort. - L'obligation d'annoncer la prise d'une activité lucrative par un assuré sous tutelle incombe aussi bien au pupille qu'à son tuteur (consid. 2a). - Le tuteur n'est pas tenu à restitution (consid. 2b). - Le comportement du tuteur est opposable à l'assuré lorsqu'il s'agit de statuer sur l'existence d'une violation de l'obligation d'annoncer (consid. 3b). Art. 47 al. 1 LAVS: Remise de l'obligation de restituer. - Une violation légère de l'obligation d'annoncer n'exclut pas la bonne foi (consid. 2c). - La bonne ou la mauvaise foi du tuteur est opposable à l'assuré; en revanche, la question de la situation difficile s'apprécie uniquement en fonction de la personne et de la situation de l'assuré (consid. 3c).</w:t>
      </w:r>
    </w:p>
    <w:p>
      <w:r>
        <w:t>Regesto Art. 104, 105, 132 OG: Cognizione del Tribunale federale delle assicurazioni nella procedura di ricorso concernente da un lato la restituzione di prestazioni assicurative, dall'altro il condono dell'obbligo di restituire (consid. 1b). Art. 47 cpv. 1 LAVS, art. 76 e 78 OAVS, art. 77 e 88bis cpv. 2 lett. b OAI: Restituzione di una rendita d'invalidità indebitamente riscossa. - L'obbligo di annunciare l'assunzione di un lavoro da parte di un assicurato tutelato spetta tanto al tutore quanto al pupillo (consid. 2a). - Il tutore non è tenuto a restituzione (consid. 2b). - Quando si tratti di violazione dell'obbligo di informare il comportamento del tutore può essere opposto all'assicurato (consid. 3b). Art. 47 cpv. 1 LAVS: Condono dell'obbligo di restituzione. - La buona fede non è esclusa nel caso di lieve violazione dell'obbligo di informare (consid. 2c). - La buona o mala fede del tutore è opponibile all'assicurato di cui di contro si apprezza l'onere troppo grave in funzione della persona e delle condizioni (consid. 3c).</w:t>
      </w:r>
    </w:p>
    <w:p>
      <w:pPr>
        <w:pStyle w:val="Heading2"/>
      </w:pPr>
      <w:r>
        <w:t>Erwägungen</w:t>
      </w:r>
    </w:p>
    <w:p>
      <w:r>
        <w:rPr>
          <w:b/>
        </w:rPr>
        <w:t>E. 1</w:t>
      </w:r>
    </w:p>
    <w:p>
      <w:r>
        <w:t>Zu prüfen ist zunächst, was den Streitgegenstand des vorliegenden Verfahrens abgibt und nach welcher Kognition sich dieser Streitgegenstand beurteilt. a) Streitgegenstand im System der nachträglichen Verwaltungsrechtspflege ist das Rechtsverhältnis, welches - im Rahmen des durch die Verfügung bestimmten Anfechtungsgegenstandes - den aufgrund der Beschwerdebegehren effektiv angefochtenen Verfügungsgegenstand bildet. Nach dieser Begriffsumschreibung sind Anfechtungsgegenstand und Streitgegenstand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In der Verwaltungsverfügung festgelegte - somit Teil des Anfechtungsgegenstandes bildende -, aber aufgrund der Beschwerdebegehren nicht mehr streitige - somit nicht zum Streitgegenstand zählende - Fragen prüft der Richter nur, wenn die nicht BGE 112 V 97 S. 100 beanstandeten Punkte in engem Sachzusammenhang mit dem Streitgegenstand stehen ( BGE 110 V 51 Erw. 3c mit Hinweisen). Objekt des vorinstanzlichen Entscheides und damit Anfechtungsgegenstand sind einerseits die bestätigten Rückforderungsverfügungen vom 20. Juli sowie 17. Oktober 1983 und anderseits die Abweisung der beschwerdeweise wiederholten Erlassgesuche. Da mit der Verwaltungsgerichtsbeschwerde die vollumfängliche Aufhebung des vorinstanzlichen Entscheides beantragt wird, gehören vorliegend sowohl die Rückerstattungspflicht als auch der Erlass zum Streitgegenstand. Daher sind beide Punkte einer Beurteilung in diesem Prozess zugänglich. b) Die Kognition des Eidg. Versicherungsgerichts ist unterschiedlich, je nachdem ob es um Versicherungsleistungen oder anderes geht. Unter Versicherungsleistungen im Sinne des Art. 132 OG sind Leistungen zu verstehen, über deren Rechtmässigkeit bei Eintritt des Versicherungsfalles befunden wird ( BGE 106 V 98 Erw. 3, BGE 98 V 131 ). Darunter fällt nach ständiger Rechtsprechung auch die Rückforderung von Versicherungsleistungen (z.B. Invalidenrenten), nicht jedoch der Erlass einer solchen Rückerstattungsschuld ( BGE 110 V 27 Erw. 3, BGE 98 V 275 Erw. 2; vgl. auch BGE 102 V 245 ; ZAK 1983 S. 507 Erw. 1). Sind im gleichen Verfahren beide Punkte zu prüfen, so gilt grundsätzlich für die Rückerstattungspflicht die erweiterte Kognition nach Art. 132 OG , wogegen für die Erlassfrage Art. 104 lit. a und Art. 105 Abs. 2 OG zu beachten sind ( BGE 98 V 276 Erw. 3). Hinsichtlich des Erlasses kann demnach mit der Verwaltungsgerichtsbeschwerde nur die Verletzung von Bundesrecht einschliesslich Überschreitung oder Missbrauch des Ermessens gerügt werden ( Art. 104 lit. a OG ); die vorinstanzliche Feststellung des rechtserheblichen Sachverhalts kann nur gerügt werden, wenn sie offensichtlich unrichtig oder unvollständig ist oder unter Verletzung wesentlicher Verfahrensbestimmungen erfolgte (Art. 104 lit. b in Verbindung mit Art. 105 Abs. 2 OG ). Im Beschwerdeverfahren um die Rückforderung von Versicherungsleistungen erstreckt sich dagegen die Überprüfungsbefugnis des Eidg. Versicherungsgerichts auch auf die Angemessenheit der angefochtenen Verfügung; das Gericht ist dabei nicht an die vorinstanzliche Feststellung des rechtserheblichen Sachverhalts gebunden und kann insbesondere über die Begehren der Parteien zu deren Gunsten oder Ungunsten hinausgehen ( Art. 132 OG ).</w:t>
      </w:r>
    </w:p>
    <w:p>
      <w:r>
        <w:rPr>
          <w:b/>
        </w:rPr>
        <w:t>E. 2</w:t>
      </w:r>
    </w:p>
    <w:p>
      <w:r>
        <w:t>a) Eine rückwirkende Aufhebung oder Berichtigung einer Invalidenrente (ex tunc) und damit verbunden die Rückerstattung BGE 112 V 97 S. 101 der zu Unrecht bezogenen Rentenbetreffnisse ( Art. 49 IVG in Verbindung mit Art. 47 AHVG ) greifen dann Platz, wenn der Tatbestand des Art. 88bis Abs. 2 lit. b IVV erfüllt ist. Danach erfolgt die revisionsweise Herabsetzung oder Aufhebung einer Invalidenrente rückwirkend vom Eintritt der für den Anspruch erheblichen Änderung an, wenn die unrichtige Ausrichtung einer Leistung darauf zurückzuführen ist, dass der Bezüger sie unrechtmässig erwirkt hat oder der ihm gemäss Art. 77 IVV zumutbaren Meldepflicht nicht nachgekommen ist. Gemäss Abs. 1 dieser Verordnungsbestimmung haben der Berechtigte oder sein gesetzlicher Vertreter sowie Behörden und Dritte, denen die Leistung zukommt, jede für den Leistungsanspruch wesentliche Änderung, namentlich eine solche des Gesundheitszustandes, der Arbeits- oder Erwerbsfähigkeit, der persönlichen und gegebenenfalls der wirtschaftlichen Verhältnisse des Versicherten unverzüglich der Ausgleichskasse anzuzeigen. Im Falle einer Bevormundung trifft die Meldepflicht daher den Versicherten und seinen Vormund, der kraft Gesetz der Vertreter seines Mündels ist ( Art. 367 Abs. 1 ZGB ). Für den Tatbestand der Meldepflichtverletzung ist ein schuldhaftes Fehlverhalten erforderlich, wobei nach ständiger Rechtsprechung bereits eine leichte Fahrlässigkeit genügt ( BGE 110 V 180 Erw. 3c mit Hinweisen). Da der Tatbestand der Meldepflichtverletzung den Vorwurf eines fehlerhaften Verhaltens umschliesst, ist erforderlich, dass der Meldepflichtige urteilsfähig ist, wie dies auch für die zivilrechtliche Haftung aus unerlaubter Handlung gilt ( Art. 19 Abs. 3 ZGB ). Die Urteilsfähigkeit ist im Sozialversicherungsrecht in bezug auf die in Frage stehende konkrete Handlung und unter Würdigung der bei ihrer Vornahme herrschenden objektiven und subjektiven Verhältnisse zu prüfen ( BGE 108 V 126 Erw. 4). Fehlt die Urteilsfähigkeit, kann der Versicherte für sein Verhalten nicht verantwortlich gemacht werden, so dass sich in einem solchen Fall die Annahme einer schuldhaften Meldepflichtverletzung verbietet. b) Von der eben dargelegten Meldepflicht ist die Rückerstattungspflicht zu unterscheiden. Denn nicht jeder im Sinne von Art. 77 Abs. 1 IVV Meldepflichtige ist auch der Rückerstattungspflicht unterworfen. Die Frage, wer im Falle einer Meldepflichtverletzung die unrechtmässig ausgerichteten Leistungen zurückzuerstatten hat, stellt sich namentlich im Falle eines bevormundeten Versicherten. BGE 112 V 97 S. 102 Auszugehen ist vom Grundsatz, dass das Familienrecht und daher auch das Vormundschaftsrecht eine Ordnung darstellt, die von der Sozialversicherung vorausgesetzt wird und dieser daher grundsätzlich vorgeht ( BGE 102 V 37 mit Hinweisen). Wird die einem bevormundeten Versicherten zustehende Invalidenrente dem Vormund ausbezahlt, so hat dieser zwar hinsichtlich ihrer Verwendung die Vorschriften des Vormundschaftsrechtes zu beachten (vgl. z.B. Art. 401 Abs. 1 und Art. 413 ZGB ); doch bleibt die Invalidenrente trotz der Vormundschaft Teil des Mündelvermögens (Art. 367 Abs. 1 in Verbindung mit Art. 398 ff. ZGB ), weswegen eine allfällige Rückerstattung aus diesem zu erfolgen hat. An dieser vormundschaftsrechtlichen Ordnung hat das Sozialversicherungsrecht nichts geändert. Denn Art. 78 AHVV (anwendbar im Gebiet der Invalidenversicherung kraft Art. 85 Abs. 3 IVV ) erklärt im Falle einer Drittauszahlung nur die in Art. 76 Abs. 1 AHVV erwähnten Personen oder Behörden als rückerstattungspflichtig, nicht jedoch den Vormund, welcher in Art. 76 Abs. 2 AHVV erwähnt wird. Zwar hat das Eidg. Versicherungsgericht im Urteil Bürgergemeinde der Stadt Luzern vom 22. Februar 1984 ( BGE 110 V 10 ) festgehalten, dass nicht nur die in Art. 76 Abs. 1 AHVV bezeichneten Drittpersonen oder Behörden, die dem Rentenberechtigten gegenüber gesetzlich oder sittlich unterstützungspflichtig sind oder ihn dauernd fürsorgerisch betreuen, der Rückerstattungspflicht unterliegen; darüber hinaus seien auch jene Drittempfänger, welchen praxisgemäss die Leistungen ausbezahlt werden, ohne dass die Voraussetzungen des Art. 76 AHVV erfüllt sind, rückerstattungspflichtig; dies treffe auf vom Berechtigten selber bezeichnete Drittempfänger zu, welche die Leistungen nicht nur als Inkasso- oder Zahlstelle entgegennehmen ( BGE 110 V 14 Erw. 2b). Diese Feststellung bezog sich jedoch nicht auf den Vormund. Das Eidg. Versicherungsgericht hat denn auch im unveröffentlichten Urteil Genoud vom 6. Dezember 1983 festgehalten, dass weder der Amtsvormund noch die Vormundschaftsbehörde als gesetzliche Vertreter des Mündels zur Rückerstattung verpflichtet sind. Dementsprechend hat das BSV mit dem Nachtrag 4 (in Kraft seit 1. Januar 1985) zur Wegleitung über die Renten Rz. 1174 verordnungskonform neu gefasst, indem der Verweis auf den in der Verordnungsbestimmung nicht erwähnten Abs. 2 des Art. 76 AHVV fallengelassen wurde (ebenso nunmehr Rz. 1371 der ab anfangs 1986 gültigen Rentenwegleitung). BGE 112 V 97 S. 103 c) Hat sich ein Meldepflichtiger eine Verletzung dieser Obliegenheit zuschulden kommen lassen und ist ihm daraus kraft des Gesetzes die Pflicht zur Rückerstattung der unrechtmässig ausgerichteten Leistungen erwachsen, so stellt sich als nächstes die Frage, ob ihm der Erlass der Rückzahlungsschuld gewährt werden kann. Hiefür ist der im Bereich der Invalidenversicherung laut Art. 49 IVG sinngemäss anwendbare Art. 47 AHVG massgeblich, wonach bei gutem Glauben und gleichzeitigem Vorliegen einer grossen Härte von der Rückforderung der unrechtmässig bezogenen Renten oder Hilflosenentschädigungen abgesehen werden kann. Hiegegen schlägt die auf ZAK 1981 S. 94 gegründete Auffassung der Vorinstanz nicht durch, dass bei einer rückwirkenden Rentenrevision zufolge Meldepflichtverletzung der Erlass schon gestützt auf Art. 88bis Abs. 2 lit. b IVV mangels guten Glaubens zu verweigern sei. Denn zum einen vermag Art. 88bis Abs. 2 lit. b IVV als Verordnungsnorm dem formellgesetzlichen Erlassanspruch des Art. 47 Abs. 1 AHVG nicht zu derogieren. Zum andern gehen die Erwägungen in ZAK 1981 S. 94 davon aus, dass die Meldepflichtverletzung, welche die Rückerstattungspflicht bewirkt, auf arglistiges oder zumindest grobfahrlässiges Fehlverhalten zurückzuführen ist. Das Eidg. Versicherungsgericht hat denn auch in ständiger Rechtsprechung bei der Beurteilung des guten Glaubens am Erfordernis eines arglistigen oder zumindest grobfehlerhaften Verhaltens festgehalten (Nachweise in BGE 110 V 180 Erw. 3c). Daraus erhellt, dass der gute Glaube als Erlassvoraussetzung von vornherein entfällt, wenn der Rückerstattungstatbestand (Melde- oder Auskunftspflichtverletzung) durch ein arglistiges oder grobfahrlässiges Verhalten herbeigeführt wurde. Anderseits kann sich der Versicherte auf den guten Glauben berufen, wenn seine fehlerhafte Handlung oder Unterlassung nur eine leichte Verletzung der Melde- oder Auskunftspflicht darstellt ( BGE 110 V 180 Erw. 3c in fine). Dies hat das Eidg. Versicherungsgericht in zwei neuesten Entscheidungen im Bereich der AHV (Urteil Schreiber vom 4. November 1985) und der Invalidenversicherung (Urteil Broillet vom 10. Dezember 1985) bestätigt.</w:t>
      </w:r>
    </w:p>
    <w:p>
      <w:r>
        <w:rPr>
          <w:b/>
        </w:rPr>
        <w:t>E. 3</w:t>
      </w:r>
    </w:p>
    <w:p>
      <w:r>
        <w:t>a) Die Ausgleichskasse hat die Rückerstattung des Betrages von Fr. 9'732.-- sowohl in der Verfügung vom 20. Juli 1983 als auch in jener vom 17. Oktober 1983 zu Lasten des Amtsvormundes verfügt. Entgegen den Vorbringen der Ausgleichskasse in ihrer Vernehmlassung ist dieses Vorgehen nach dem in Erw. 2b Gesagten unzutreffend, weshalb die gegen den Amtsvormund verfügte Rückerstattung aufzuheben ist. BGE 112 V 97 S. 104 b) Zu prüfen ist im weitern die Rückerstattungspflicht des Beschwerdeführers. Diese ist zu bejahen, sofern er oder sein Vormund sich eine Meldepflichtverletzung haben zuschulden kommen lassen. Als Bevormundeter muss sich der Beschwerdeführer das Verhalten seines gesetzlichen Vertreters anrechnen lassen, wie das Eidg. Versicherungsgericht im bereits erwähnten Urteil Genoud vom 6. Dezember 1983 in bezug auf die Erlassvoraussetzung des guten Glaubens festgestellt hat; die Zurechenbarkeit des Verhaltens des gesetzlichen Vertreters gilt aber selbstverständlich auch für die Belange der Meldepflichterfüllung. Welche Konsequenzen sich aus einem etwaigen fehlerhaften Verhalten des Vormundes im Verhältnis zu seinem Mündel ergeben, kann nicht Gegenstand dieses Sozialversicherungsprozesses sein, sondern wäre nach den Bestimmungen des Vormundschaftsrechtes in einem allfälligen Verantwortlichkeitsverfahren zu beantworten ( Art. 426 ff., Art. 430 Abs. 1 ZGB ). Aus den Akten geht hervor, dass der Beschwerdeführer in psychischer Hinsicht schwer beeinträchtigt und deswegen nicht in der Lage ist, seine Angelegenheiten selber zu besorgen. Nebst seinem Vormund müssen sich auch andere Amtsstellen seit Jahren immer wieder mit ihm befassen, weil er durch seine Lebensweise sich und andere in Gefahr bringt. Das ständige Eingehen untragbarer finanzieller Verpflichtungen im Zusammenhang mit der Miete von Lagerräumlichkeiten, welche er für die Aufbewahrung seines Sammelgutes benützt, zeigt deutlich, dass ihm die im alltäglichen Geschäftsleben erforderliche vernünftige Einsicht abgeht. Daher kann er mangels Urteilsfähigkeit nicht dafür verantwortlich gemacht werden, dass er die Aufnahme seiner Erwerbstätigkeit Mitte Juni 1981 in einem Hotel nicht meldete. Was die Wahrnehmung der Meldepflicht durch den Amtsvormund anbelangt, so ist dessen Versicherung glaubwürdig, dass er von der am 15. Juni 1981 durch den Beschwerdeführer aufgenommenen Erwerbstätigkeit nichts gewusst habe. Diese Unkenntnis wird durch den am 26. Oktober 1981, somit in einem Zeitpunkt verfassten Rechenschaftsbericht des Vormundes bestätigt, als sich die Frage einer möglichen Rückerstattungspflicht noch gar nicht gestellt hatte. Indessen wäre es dem Amtsvormund bei gezielter Befragung sicherlich möglich gewesen, die Erwerbstätigkeit seines Mündels in Erfahrung zu bringen. Denn aus den eingereichten Unterlagen geht hervor, dass der Beschwerdeführer die Auskunft über seine persönlichen Verhältnisse nicht schlechtweg verweigerte, BGE 112 V 97 S. 105 wie z.B. die Abklärung durch den Ombudsmann im Zusammenhang mit der bewohnten Kellerräumlichkeit zeigt. Auf der andern Seite ist es verständlich, dass der Amtsvormund seine Aufmerksamkeit vorwiegend auf die drängendsten Probleme bezüglich der verschiedenen gemieteten Wohnungen, Lagerräumlichkeiten etc. richtete, und nicht auf die Frage einer Erwerbstätigkeit, über die der Beschwerdeführer ihn nicht von sich aus unterrichtete. Bei dieser Sachlage kann dem Amtsvormund zwar keine grobe Pflichtwidrigkeit vorgeworfen werden; ganz schuldlos ist er aber nicht, weil er doch nicht alles Zumutbare unternahm, um über eine mögliche Erwerbstätigkeit seines Mündels informiert zu sein. Daher ist der Tatbestand der Meldepflichtverletzung in der Person des Amtsvormundes erfüllt. Dieses Verhalten seines gesetzlichen Vertreters muss sich der Beschwerdeführer anrechnen lassen, weshalb er (nicht der Vormund) zur Rückerstattung des Betrages von Fr. 9'732.-- verpflichtet ist. c) Was den Erlass dieser Rückerstattungsschuld anbelangt, so kann der gute Glaube des Beschwerdeführers zufolge der auch in diesem Zusammenhang massgeblichen fehlenden Urteilsfähigkeit nicht verneint werden. Aber auch der Amtsvormund kann sich auf den guten Glauben berufen, weil seine Pflichtwidrigkeit, wie dargelegt, nur eine leichte Fahrlässigkeit darstellt. Somit bleibt die Frage zu prüfen, ob die Rückzahlung der Betreffnisse von Fr. 9'732.-- eine grosse Härte im Sinne der Rechtsprechung ( BGE 108 V 58 ) darstellt, wobei diese Frage sich in bezug auf den Beschwerdeführer selber stellt und nach dessen Verhältnissen (nicht denen des Vormundes) zu beantworten ist. Darüber geben die Akten keinen hinreichenden Aufschluss, weshalb die Sache zur Prüfung dieser Erlassvoraussetzung an die Verwaltung zurückzuweisen ist. Dispositiv Demnach erkennt das Eidg. Versicherungsgericht: Die Verwaltungsgerichtsbeschwerde wird in dem Sinne teilweise gutgeheissen, dass der Entscheid der AHV-Rekurskommission des Kantons Zürich vom 5. Dezember 1984 sowie die Kassenverfügungen vom 20. Juli und 17. Oktober 1983 aufgehoben werden und die Sache an die Ausgleichskasse des Kantons Zürich zurückgewiesen wird, damit diese, nach Prüfung der Erlassvoraussetzung der grossen Härte, über das Erlassgesuch des Beschwerdeführers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