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87</w:t>
      </w:r>
    </w:p>
    <w:p>
      <w:r>
        <w:t>Bundesgericht (BGE), 1986-05-14, IT</w:t>
      </w:r>
    </w:p>
    <w:p>
      <w:r>
        <w:rPr>
          <w:b/>
        </w:rPr>
        <w:t xml:space="preserve">Quelle: </w:t>
      </w:r>
      <w:r>
        <w:t>https://mcp.opencaselaw.ch/entscheid/bge_BGE_112_V_87</w:t>
      </w:r>
    </w:p>
    <w:p>
      <w:r>
        <w:t>FR: ATF 112 V 87</w:t>
      </w:r>
    </w:p>
    <w:p>
      <w:r>
        <w:t>IT: DTF 112 V 87</w:t>
      </w:r>
    </w:p>
    <w:p>
      <w:pPr>
        <w:pStyle w:val="Heading2"/>
      </w:pPr>
      <w:r>
        <w:t>Regeste</w:t>
      </w:r>
    </w:p>
    <w:p>
      <w:r>
        <w:t>Regeste Art. 128 Abs. 1 AHVV, Art. 91 Abs. 1 IVV. Zur Unterzeichnung von Verwaltungsverfügungen auf dem Gebiete der AHV/IV, die mittels elektronischer Datenverarbeitung erstellt werden.</w:t>
      </w:r>
    </w:p>
    <w:p>
      <w:r>
        <w:t>Regeste Art. 128 al. 1 RAVS, art. 91 al. 1 RAI. De la signature des décisions administratives en matière d'AVS/AI rendues au moyen de procédés électroniques.</w:t>
      </w:r>
    </w:p>
    <w:p>
      <w:r>
        <w:t>Regesto Art. 128 cpv. 1 OAVS, art. 91 cpv. 1 OAI. Della firma di decisioni amministrative in materia d'AVS/AI rese con l'ausilio di elaboratori elettronici.</w:t>
      </w:r>
    </w:p>
    <w:p>
      <w:pPr>
        <w:pStyle w:val="Heading2"/>
      </w:pPr>
      <w:r>
        <w:t>Volltext</w:t>
      </w:r>
    </w:p>
    <w:p>
      <w:r>
        <w:t>Bundesgericht (BGE) Band V 1986 BGE 112 V 87 Tribunal fédéral (ATF) Volume V 1986 BGE 112 V 87 Tribunale federale (DTF) Volume V 1986 BGE 112 V 87</w:t>
      </w:r>
    </w:p>
    <w:p>
      <w:r>
        <w:t>Regeste Art. 128 Abs. 1 AHVV, Art. 91 Abs. 1 IVV. Zur Unterzeichnung von Verwaltungsverfügungen auf dem Gebiete der AHV/IV, die mittels elektronischer Datenverarbeitung erstellt werden. Regeste Art. 128 al. 1 RAVS, art. 91 al. 1 RAI. De la signature des décisions administratives en matière d'AVS/AI rendues au moyen de procédés électroniques. Regesto Art. 128 cpv. 1 OAVS, art. 91 cpv. 1 OAI. Della firma di decisioni amministrative in materia d'AVS/AI rese con l'ausilio di elaboratori elettronici.</w:t>
      </w:r>
    </w:p>
    <w:p>
      <w:r>
        <w:t>Urteilskopf 112 V 87 15. Estratto della sentenza del 14 maggio 1986 nella causa Chotas contro Cassa di compensazione del Cantone Ticino e Tribunale delle assicurazioni del Cantone Ticino Regeste Art. 128 Abs. 1 AHVV , Art. 91 Abs. 1 IVV . Zur Unterzeichnung von Verwaltungsverfügungen auf dem Gebiete der AHV/IV, die mittels elektronischer Datenverarbeitung erstellt werden. Erwägungen ab Seite 87 BGE 112 V 87 S. 87 Estratto dai considerandi: 1. In ordine alle censure ricorsuali relative alla carenza di una firma sulle decisioni amministrative rese dalla Cassa cantonale di compensazione deve essere osservato che, secondo la giurisprudenza ( DTF 105 V 248 segg.), di massima la firma non è presupposto di validità delle decisioni rese in forma scritta conformemente alle disposizioni della legge in materia, quando la legge stessa, oltre a prescrivere la forma scritta del provvedimento, non ne domanda espressamente la firma da parte dell'organo che emana l'atto amministrativo. Secondo l' art. 128 cpv. 1 OAVS tutti gli atti amministrativi delle casse di compensazione concernenti crediti o debiti degli assicurati o delle persone tenute a pagare contributi devono rivestire la forma di una decisione scritta. Per il cpv. 2 della medesima norma le decisioni delle casse devono indicare entro quale termine, in che forma e a quale istanza può essere presentato ricorso. Per quanto riguarda la firma delle decisioni le Direttive sulle rendite, edite dall'Ufficio federale delle assicurazioni sociali, cfr. BGE 112 V 87 S. 88 marg. 1153, rinviano delle disposizioni applicabili secondo la Circolare sul contenzioso pure edita dall'Ufficio federale delle assicurazioni sociali. Secondo la cfr. marg. 4.1 di questa Circolare e il relativo supplemento n. 1, validi con effetto dal 1o aprile 1982, per principio la decisione deve essere firmata da un rappresentante autorizzato della cassa di compensazione. Devono inoltre sempre essere firmate le decisioni concernenti il rifiuto, la soppressione, la riduzione o la restituzione di prestazioni. La firma può tuttavia essere omessa quando le decisioni di contributi sono redatte su formulari stampati o con l'ausilio di un elaboratore elettronico o quando le decisioni relative all'attribuzione di prestazioni assicurative sono compilate con l'ausilio di un elaboratore elettronico. Le disposizioni della Circolare sul contenzioso sopra richiamate non violano i principi giurisprudenziali enunciati in DTF 105 V 248 e segg. e tengono rettamente conto dell'evoluzione nell'ambito amministrativo dovuta all'uso di elaboratori elettronici nella resa di decisioni amministrative (v. al riguardo GRISEL, Traité de droit administratif, pag. 406; DEGRANDI, Die automatisierte Verwaltungsverfügung, 1977, tesi Zurigo 1977, pag. 117 e segg.). Esse meritano di essere confermate in quanto non sono contrarie alle vigenti disposizioni legali applicabili in materia d'AVS ( art. 128 cpv. 1 OAVS ) e AI ( art. 91 cpv. 1 OAI ). Dato quanto precede le censure formali proposte dalla ricorrente devono essere respinte.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